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DE40F" w14:textId="5D1047FE" w:rsidR="006940D1" w:rsidRPr="006940D1" w:rsidRDefault="00DB405C" w:rsidP="006940D1">
      <w:pPr>
        <w:pStyle w:val="TableParagraph"/>
        <w:spacing w:line="360" w:lineRule="auto"/>
        <w:rPr>
          <w:rFonts w:ascii="Arial"/>
          <w:b/>
          <w:w w:val="105"/>
          <w:sz w:val="28"/>
          <w:szCs w:val="28"/>
          <w:lang w:val="en-GB"/>
        </w:rPr>
      </w:pPr>
      <w:r>
        <w:rPr>
          <w:rFonts w:ascii="Arial"/>
          <w:b/>
          <w:w w:val="105"/>
          <w:sz w:val="28"/>
          <w:szCs w:val="28"/>
          <w:lang w:val="en-GB"/>
        </w:rPr>
        <w:t xml:space="preserve">Appendix 2 - </w:t>
      </w:r>
      <w:bookmarkStart w:id="0" w:name="_GoBack"/>
      <w:bookmarkEnd w:id="0"/>
      <w:r w:rsidR="006940D1">
        <w:rPr>
          <w:rFonts w:ascii="Arial"/>
          <w:b/>
          <w:w w:val="105"/>
          <w:sz w:val="28"/>
          <w:szCs w:val="28"/>
          <w:lang w:val="en-GB"/>
        </w:rPr>
        <w:t>Brexit risk assessment</w:t>
      </w:r>
    </w:p>
    <w:p w14:paraId="06B8D0E0" w14:textId="34475B7D" w:rsidR="006940D1" w:rsidRPr="006940D1" w:rsidRDefault="006940D1" w:rsidP="006940D1">
      <w:pPr>
        <w:pStyle w:val="TableParagraph"/>
        <w:spacing w:line="360" w:lineRule="auto"/>
        <w:rPr>
          <w:rFonts w:ascii="Arial"/>
          <w:bCs/>
          <w:w w:val="105"/>
          <w:sz w:val="24"/>
          <w:szCs w:val="24"/>
          <w:lang w:val="en-GB"/>
        </w:rPr>
      </w:pPr>
      <w:r w:rsidRPr="006940D1">
        <w:rPr>
          <w:rFonts w:ascii="Arial"/>
          <w:bCs/>
          <w:w w:val="105"/>
          <w:sz w:val="24"/>
          <w:szCs w:val="24"/>
          <w:lang w:val="en-GB"/>
        </w:rPr>
        <w:t>5 January 2021</w:t>
      </w:r>
    </w:p>
    <w:p w14:paraId="762B7913" w14:textId="1DC0E222" w:rsidR="006940D1" w:rsidRDefault="006940D1" w:rsidP="00790A07">
      <w:pPr>
        <w:pStyle w:val="TableParagraph"/>
        <w:spacing w:before="240" w:line="360" w:lineRule="auto"/>
        <w:rPr>
          <w:rFonts w:ascii="Arial"/>
          <w:b/>
          <w:w w:val="105"/>
          <w:sz w:val="24"/>
          <w:szCs w:val="24"/>
          <w:lang w:val="en-GB"/>
        </w:rPr>
      </w:pPr>
      <w:r>
        <w:rPr>
          <w:rFonts w:ascii="Arial"/>
          <w:b/>
          <w:w w:val="105"/>
          <w:sz w:val="24"/>
          <w:szCs w:val="24"/>
          <w:lang w:val="en-GB"/>
        </w:rPr>
        <w:t>Introduction</w:t>
      </w:r>
    </w:p>
    <w:p w14:paraId="2D5E827E" w14:textId="4D2A19FD" w:rsidR="006940D1" w:rsidRDefault="006940D1" w:rsidP="00DE2967">
      <w:pPr>
        <w:pStyle w:val="TableParagraph"/>
        <w:spacing w:before="120" w:line="276" w:lineRule="auto"/>
        <w:rPr>
          <w:rFonts w:ascii="Arial"/>
          <w:bCs/>
          <w:w w:val="105"/>
          <w:sz w:val="24"/>
          <w:szCs w:val="24"/>
          <w:lang w:val="en-GB"/>
        </w:rPr>
      </w:pPr>
      <w:r>
        <w:rPr>
          <w:rFonts w:ascii="Arial"/>
          <w:bCs/>
          <w:w w:val="105"/>
          <w:sz w:val="24"/>
          <w:szCs w:val="24"/>
          <w:lang w:val="en-GB"/>
        </w:rPr>
        <w:t>In preparation for a likely no-deal Brexit, the WLW Contracts and Operations team created a risk register ahead of the Christmas break to ensure that sufficient mitigations were in place.</w:t>
      </w:r>
    </w:p>
    <w:p w14:paraId="0E7DFF12" w14:textId="1CE5EED9" w:rsidR="00FA5CCE" w:rsidRDefault="006940D1" w:rsidP="00DE2967">
      <w:pPr>
        <w:pStyle w:val="TableParagraph"/>
        <w:spacing w:before="120" w:line="276" w:lineRule="auto"/>
        <w:rPr>
          <w:rFonts w:ascii="Arial"/>
          <w:bCs/>
          <w:w w:val="105"/>
          <w:sz w:val="24"/>
          <w:szCs w:val="24"/>
          <w:lang w:val="en-GB"/>
        </w:rPr>
      </w:pPr>
      <w:r>
        <w:rPr>
          <w:rFonts w:ascii="Arial"/>
          <w:bCs/>
          <w:w w:val="105"/>
          <w:sz w:val="24"/>
          <w:szCs w:val="24"/>
          <w:lang w:val="en-GB"/>
        </w:rPr>
        <w:t xml:space="preserve">Since </w:t>
      </w:r>
      <w:r w:rsidR="00FA5CCE">
        <w:rPr>
          <w:rFonts w:ascii="Arial"/>
          <w:bCs/>
          <w:w w:val="105"/>
          <w:sz w:val="24"/>
          <w:szCs w:val="24"/>
          <w:lang w:val="en-GB"/>
        </w:rPr>
        <w:t>then,</w:t>
      </w:r>
      <w:r>
        <w:rPr>
          <w:rFonts w:ascii="Arial"/>
          <w:bCs/>
          <w:w w:val="105"/>
          <w:sz w:val="24"/>
          <w:szCs w:val="24"/>
          <w:lang w:val="en-GB"/>
        </w:rPr>
        <w:t xml:space="preserve"> a Brexit deal has been struck between the UK and EU, and the risk assessment has been updated based on what we know at this time. </w:t>
      </w:r>
    </w:p>
    <w:p w14:paraId="15DB554A" w14:textId="7FE2155D" w:rsidR="00FA5CCE" w:rsidRDefault="00FA5CCE" w:rsidP="00DE2967">
      <w:pPr>
        <w:pStyle w:val="TableParagraph"/>
        <w:spacing w:before="120" w:line="276" w:lineRule="auto"/>
        <w:rPr>
          <w:rFonts w:ascii="Arial"/>
          <w:bCs/>
          <w:w w:val="105"/>
          <w:sz w:val="24"/>
          <w:szCs w:val="24"/>
          <w:lang w:val="en-GB"/>
        </w:rPr>
      </w:pPr>
      <w:r>
        <w:rPr>
          <w:rFonts w:ascii="Arial"/>
          <w:bCs/>
          <w:w w:val="105"/>
          <w:sz w:val="24"/>
          <w:szCs w:val="24"/>
          <w:lang w:val="en-GB"/>
        </w:rPr>
        <w:t>The detailed risk assessment is shown overleaf. Since a deal was reached, a number of the risk scores have been downgraded, however all risks remain relevant and require monitoring going forwards.</w:t>
      </w:r>
    </w:p>
    <w:p w14:paraId="4B391567" w14:textId="78DDB708" w:rsidR="00FA5CCE" w:rsidRDefault="00FA5CCE" w:rsidP="00790A07">
      <w:pPr>
        <w:pStyle w:val="TableParagraph"/>
        <w:spacing w:before="240" w:line="360" w:lineRule="auto"/>
        <w:rPr>
          <w:rFonts w:ascii="Arial"/>
          <w:b/>
          <w:w w:val="105"/>
          <w:sz w:val="24"/>
          <w:szCs w:val="24"/>
          <w:lang w:val="en-GB"/>
        </w:rPr>
      </w:pPr>
      <w:r>
        <w:rPr>
          <w:rFonts w:ascii="Arial"/>
          <w:b/>
          <w:w w:val="105"/>
          <w:sz w:val="24"/>
          <w:szCs w:val="24"/>
          <w:lang w:val="en-GB"/>
        </w:rPr>
        <w:t>Key risks</w:t>
      </w:r>
    </w:p>
    <w:p w14:paraId="554D98A6" w14:textId="29CF9F21" w:rsidR="00FA5CCE" w:rsidRDefault="00FA5CCE" w:rsidP="00FA5CCE">
      <w:pPr>
        <w:pStyle w:val="TableParagraph"/>
        <w:spacing w:before="60" w:line="276" w:lineRule="auto"/>
        <w:rPr>
          <w:rFonts w:ascii="Arial"/>
          <w:bCs/>
          <w:w w:val="105"/>
          <w:sz w:val="24"/>
          <w:szCs w:val="24"/>
          <w:lang w:val="en-GB"/>
        </w:rPr>
      </w:pPr>
      <w:r>
        <w:rPr>
          <w:rFonts w:ascii="Arial"/>
          <w:bCs/>
          <w:w w:val="105"/>
          <w:sz w:val="24"/>
          <w:szCs w:val="24"/>
          <w:lang w:val="en-GB"/>
        </w:rPr>
        <w:t>There are two risks that remain amber after mitigations have been applied:</w:t>
      </w:r>
    </w:p>
    <w:p w14:paraId="2AB95AE3" w14:textId="4D83ECBA" w:rsidR="00FA5CCE" w:rsidRDefault="00DE2967" w:rsidP="00C74960">
      <w:pPr>
        <w:pStyle w:val="TableParagraph"/>
        <w:numPr>
          <w:ilvl w:val="0"/>
          <w:numId w:val="20"/>
        </w:numPr>
        <w:spacing w:before="60" w:line="276" w:lineRule="auto"/>
        <w:rPr>
          <w:rFonts w:ascii="Arial"/>
          <w:bCs/>
          <w:w w:val="105"/>
          <w:sz w:val="24"/>
          <w:szCs w:val="24"/>
          <w:lang w:val="en-GB"/>
        </w:rPr>
      </w:pPr>
      <w:r>
        <w:rPr>
          <w:rFonts w:ascii="Arial"/>
          <w:b/>
          <w:w w:val="105"/>
          <w:sz w:val="24"/>
          <w:szCs w:val="24"/>
          <w:lang w:val="en-GB"/>
        </w:rPr>
        <w:t xml:space="preserve">Risk 3: </w:t>
      </w:r>
      <w:r w:rsidR="00C74960" w:rsidRPr="00C74960">
        <w:rPr>
          <w:rFonts w:ascii="Arial"/>
          <w:bCs/>
          <w:w w:val="105"/>
          <w:sz w:val="24"/>
          <w:szCs w:val="24"/>
          <w:lang w:val="en-GB"/>
        </w:rPr>
        <w:t>Markets for outputs from the Borough MRF contracts harden or fall away as export becomes more difficult.</w:t>
      </w:r>
    </w:p>
    <w:p w14:paraId="0C629314" w14:textId="677E723E" w:rsidR="00C74960" w:rsidRDefault="00DE2967" w:rsidP="00C74960">
      <w:pPr>
        <w:pStyle w:val="TableParagraph"/>
        <w:numPr>
          <w:ilvl w:val="0"/>
          <w:numId w:val="20"/>
        </w:numPr>
        <w:spacing w:before="60" w:line="276" w:lineRule="auto"/>
        <w:rPr>
          <w:rFonts w:ascii="Arial"/>
          <w:bCs/>
          <w:w w:val="105"/>
          <w:sz w:val="24"/>
          <w:szCs w:val="24"/>
          <w:lang w:val="en-GB"/>
        </w:rPr>
      </w:pPr>
      <w:r>
        <w:rPr>
          <w:rFonts w:ascii="Arial"/>
          <w:b/>
          <w:w w:val="105"/>
          <w:sz w:val="24"/>
          <w:szCs w:val="24"/>
          <w:lang w:val="en-GB"/>
        </w:rPr>
        <w:t xml:space="preserve">Risk 9: </w:t>
      </w:r>
      <w:r w:rsidR="00C74960" w:rsidRPr="00C74960">
        <w:rPr>
          <w:rFonts w:ascii="Arial"/>
          <w:bCs/>
          <w:w w:val="105"/>
          <w:sz w:val="24"/>
          <w:szCs w:val="24"/>
          <w:lang w:val="en-GB"/>
        </w:rPr>
        <w:t>There is a shortage of drivers</w:t>
      </w:r>
    </w:p>
    <w:p w14:paraId="61AC38A7" w14:textId="77777777" w:rsidR="00DE2967" w:rsidRDefault="00DE2967" w:rsidP="00DE2967">
      <w:pPr>
        <w:pStyle w:val="TableParagraph"/>
        <w:spacing w:before="120" w:line="276" w:lineRule="auto"/>
        <w:rPr>
          <w:rFonts w:ascii="Arial"/>
          <w:bCs/>
          <w:w w:val="105"/>
          <w:sz w:val="24"/>
          <w:szCs w:val="24"/>
          <w:lang w:val="en-GB"/>
        </w:rPr>
      </w:pPr>
      <w:r>
        <w:rPr>
          <w:rFonts w:ascii="Arial"/>
          <w:b/>
          <w:w w:val="105"/>
          <w:sz w:val="24"/>
          <w:szCs w:val="24"/>
          <w:lang w:val="en-GB"/>
        </w:rPr>
        <w:t>Risk 3</w:t>
      </w:r>
      <w:r>
        <w:rPr>
          <w:rFonts w:ascii="Arial"/>
          <w:bCs/>
          <w:w w:val="105"/>
          <w:sz w:val="24"/>
          <w:szCs w:val="24"/>
          <w:lang w:val="en-GB"/>
        </w:rPr>
        <w:t xml:space="preserve"> is unlikely to be long-term because the Brexit deal does not impose tariffs or quotas on goods. However, there will be additional checks at borders, which could slow-down exports, particularly in the initial weeks while the new systems are bedding in. Covid-19 also increases this risk because drivers on RORO routes are now subject to Coronavirus tests, which will further slow-down movements. It is not within our power to reduce the probability of this risk, but the described mitigations can mitigate the impacts to some extent.</w:t>
      </w:r>
    </w:p>
    <w:p w14:paraId="25905E11" w14:textId="5689A6E5" w:rsidR="004543EF" w:rsidRDefault="007B0C9F" w:rsidP="00DE2967">
      <w:pPr>
        <w:pStyle w:val="TableParagraph"/>
        <w:spacing w:before="120" w:line="276" w:lineRule="auto"/>
        <w:rPr>
          <w:rFonts w:ascii="Arial"/>
          <w:bCs/>
          <w:w w:val="105"/>
          <w:sz w:val="24"/>
          <w:szCs w:val="24"/>
          <w:lang w:val="en-GB"/>
        </w:rPr>
      </w:pPr>
      <w:r>
        <w:rPr>
          <w:rFonts w:ascii="Arial"/>
          <w:b/>
          <w:w w:val="105"/>
          <w:sz w:val="24"/>
          <w:szCs w:val="24"/>
          <w:lang w:val="en-GB"/>
        </w:rPr>
        <w:t>Risk 9</w:t>
      </w:r>
      <w:r>
        <w:rPr>
          <w:rFonts w:ascii="Arial"/>
          <w:bCs/>
          <w:w w:val="105"/>
          <w:sz w:val="24"/>
          <w:szCs w:val="24"/>
          <w:lang w:val="en-GB"/>
        </w:rPr>
        <w:t xml:space="preserve"> is a longer-term risk. Brexit means that free movement of people will cease and therefore the staffing pool for drivers will shrink significantly in an area where driver shortage has been a problem for several years. This risk will most likely grow over time as existing drivers leave and need to be replaced. Again, Covid-19 amplifies this risk because it will lead to higher levels of driver absence. Mitigations include creating a shared pool of drivers between Boroughs, private sector contractors and other authorities. The use of frameworks to obtain back-up drivers (as used in the initial </w:t>
      </w:r>
      <w:proofErr w:type="spellStart"/>
      <w:r>
        <w:rPr>
          <w:rFonts w:ascii="Arial"/>
          <w:bCs/>
          <w:w w:val="105"/>
          <w:sz w:val="24"/>
          <w:szCs w:val="24"/>
          <w:lang w:val="en-GB"/>
        </w:rPr>
        <w:t>Covid</w:t>
      </w:r>
      <w:proofErr w:type="spellEnd"/>
      <w:r>
        <w:rPr>
          <w:rFonts w:ascii="Arial"/>
          <w:bCs/>
          <w:w w:val="105"/>
          <w:sz w:val="24"/>
          <w:szCs w:val="24"/>
          <w:lang w:val="en-GB"/>
        </w:rPr>
        <w:t xml:space="preserve"> lockdown) could also help mitigate this risk. </w:t>
      </w:r>
      <w:r w:rsidR="004543EF">
        <w:rPr>
          <w:rFonts w:ascii="Arial"/>
          <w:bCs/>
          <w:w w:val="105"/>
          <w:sz w:val="24"/>
          <w:szCs w:val="24"/>
          <w:lang w:val="en-GB"/>
        </w:rPr>
        <w:t>There is also the option to lobby</w:t>
      </w:r>
      <w:r>
        <w:rPr>
          <w:rFonts w:ascii="Arial"/>
          <w:bCs/>
          <w:w w:val="105"/>
          <w:sz w:val="24"/>
          <w:szCs w:val="24"/>
          <w:lang w:val="en-GB"/>
        </w:rPr>
        <w:t xml:space="preserve"> Government </w:t>
      </w:r>
      <w:r w:rsidR="004543EF">
        <w:rPr>
          <w:rFonts w:ascii="Arial"/>
          <w:bCs/>
          <w:w w:val="105"/>
          <w:sz w:val="24"/>
          <w:szCs w:val="24"/>
          <w:lang w:val="en-GB"/>
        </w:rPr>
        <w:t xml:space="preserve">via NAWDO </w:t>
      </w:r>
      <w:r>
        <w:rPr>
          <w:rFonts w:ascii="Arial"/>
          <w:bCs/>
          <w:w w:val="105"/>
          <w:sz w:val="24"/>
          <w:szCs w:val="24"/>
          <w:lang w:val="en-GB"/>
        </w:rPr>
        <w:t>about the need to attract drivers to the country</w:t>
      </w:r>
      <w:r w:rsidR="00C813AD">
        <w:rPr>
          <w:rFonts w:ascii="Arial"/>
          <w:bCs/>
          <w:w w:val="105"/>
          <w:sz w:val="24"/>
          <w:szCs w:val="24"/>
          <w:lang w:val="en-GB"/>
        </w:rPr>
        <w:t xml:space="preserve"> going forwards</w:t>
      </w:r>
      <w:r w:rsidR="004543EF">
        <w:rPr>
          <w:rFonts w:ascii="Arial"/>
          <w:bCs/>
          <w:w w:val="105"/>
          <w:sz w:val="24"/>
          <w:szCs w:val="24"/>
          <w:lang w:val="en-GB"/>
        </w:rPr>
        <w:t>.</w:t>
      </w:r>
    </w:p>
    <w:p w14:paraId="5E11C448" w14:textId="77777777" w:rsidR="00C813AD" w:rsidRDefault="004543EF" w:rsidP="00DE2967">
      <w:pPr>
        <w:pStyle w:val="TableParagraph"/>
        <w:spacing w:before="120" w:line="276" w:lineRule="auto"/>
        <w:rPr>
          <w:rFonts w:ascii="Arial"/>
          <w:bCs/>
          <w:w w:val="105"/>
          <w:sz w:val="24"/>
          <w:szCs w:val="24"/>
          <w:lang w:val="en-GB"/>
        </w:rPr>
      </w:pPr>
      <w:r>
        <w:rPr>
          <w:rFonts w:ascii="Arial"/>
          <w:bCs/>
          <w:w w:val="105"/>
          <w:sz w:val="24"/>
          <w:szCs w:val="24"/>
          <w:lang w:val="en-GB"/>
        </w:rPr>
        <w:t>Other risks that are amber before mitigation are related to off-takers for materials that WLW manages, namely HRRC materials, mattresses and outputs from WLW</w:t>
      </w:r>
      <w:r>
        <w:rPr>
          <w:rFonts w:ascii="Arial"/>
          <w:bCs/>
          <w:w w:val="105"/>
          <w:sz w:val="24"/>
          <w:szCs w:val="24"/>
          <w:lang w:val="en-GB"/>
        </w:rPr>
        <w:t>’</w:t>
      </w:r>
      <w:r>
        <w:rPr>
          <w:rFonts w:ascii="Arial"/>
          <w:bCs/>
          <w:w w:val="105"/>
          <w:sz w:val="24"/>
          <w:szCs w:val="24"/>
          <w:lang w:val="en-GB"/>
        </w:rPr>
        <w:t>s MRF contract (on behalf of Ealing). These off-take arrangements are managed directly by WLW, so we are better able to apply mitigations, including increased dialogue with off-takers, using our dynamic procurement system to quickly find alternative off-takers and using our contracts to protect us from financial risk being passed down.</w:t>
      </w:r>
    </w:p>
    <w:p w14:paraId="7E0E7D6B" w14:textId="77777777" w:rsidR="00C813AD" w:rsidRPr="00790A07" w:rsidRDefault="00C813AD" w:rsidP="00790A07">
      <w:pPr>
        <w:pStyle w:val="TableParagraph"/>
        <w:spacing w:before="240" w:line="360" w:lineRule="auto"/>
        <w:rPr>
          <w:rFonts w:ascii="Arial"/>
          <w:b/>
          <w:w w:val="105"/>
          <w:sz w:val="24"/>
          <w:szCs w:val="24"/>
          <w:lang w:val="en-GB"/>
        </w:rPr>
      </w:pPr>
      <w:r>
        <w:rPr>
          <w:rFonts w:ascii="Arial"/>
          <w:b/>
          <w:w w:val="105"/>
          <w:sz w:val="24"/>
          <w:szCs w:val="24"/>
          <w:lang w:val="en-GB"/>
        </w:rPr>
        <w:t>Going forwards</w:t>
      </w:r>
    </w:p>
    <w:p w14:paraId="32053BD4" w14:textId="4ED771D6" w:rsidR="00C74960" w:rsidRPr="00C74960" w:rsidRDefault="00C813AD" w:rsidP="00C813AD">
      <w:pPr>
        <w:pStyle w:val="TableParagraph"/>
        <w:spacing w:before="120" w:line="276" w:lineRule="auto"/>
        <w:rPr>
          <w:rFonts w:ascii="Arial"/>
          <w:bCs/>
          <w:w w:val="105"/>
          <w:sz w:val="24"/>
          <w:szCs w:val="24"/>
          <w:lang w:val="en-GB"/>
        </w:rPr>
      </w:pPr>
      <w:r>
        <w:rPr>
          <w:rFonts w:ascii="Arial"/>
          <w:bCs/>
          <w:w w:val="105"/>
          <w:sz w:val="24"/>
          <w:szCs w:val="24"/>
          <w:lang w:val="en-GB"/>
        </w:rPr>
        <w:t>This risk assessment will be kept under regular review and revised as the implications of Brexit become clearer.</w:t>
      </w:r>
    </w:p>
    <w:p w14:paraId="4ED0E35C" w14:textId="7CD0B6F3" w:rsidR="006940D1" w:rsidRPr="006940D1" w:rsidRDefault="006940D1" w:rsidP="006940D1">
      <w:pPr>
        <w:pStyle w:val="TableParagraph"/>
        <w:spacing w:line="360" w:lineRule="auto"/>
        <w:rPr>
          <w:rFonts w:ascii="Arial"/>
          <w:b/>
          <w:w w:val="105"/>
          <w:sz w:val="32"/>
          <w:szCs w:val="32"/>
          <w:lang w:val="en-GB"/>
        </w:rPr>
        <w:sectPr w:rsidR="006940D1" w:rsidRPr="006940D1" w:rsidSect="00595D22">
          <w:footerReference w:type="default" r:id="rId8"/>
          <w:pgSz w:w="11906" w:h="16838" w:code="9"/>
          <w:pgMar w:top="720" w:right="720" w:bottom="720" w:left="720" w:header="720" w:footer="38" w:gutter="0"/>
          <w:cols w:space="720"/>
          <w:docGrid w:linePitch="326"/>
        </w:sectPr>
      </w:pPr>
    </w:p>
    <w:tbl>
      <w:tblPr>
        <w:tblW w:w="22893" w:type="dxa"/>
        <w:tblInd w:w="-2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"/>
        <w:gridCol w:w="2710"/>
        <w:gridCol w:w="4536"/>
        <w:gridCol w:w="1206"/>
        <w:gridCol w:w="721"/>
        <w:gridCol w:w="900"/>
        <w:gridCol w:w="801"/>
        <w:gridCol w:w="7428"/>
        <w:gridCol w:w="734"/>
        <w:gridCol w:w="850"/>
        <w:gridCol w:w="761"/>
        <w:gridCol w:w="1970"/>
      </w:tblGrid>
      <w:tr w:rsidR="00E345BB" w:rsidRPr="00F51434" w14:paraId="48F703CF" w14:textId="77777777" w:rsidTr="007B0C9F">
        <w:trPr>
          <w:tblHeader/>
        </w:trPr>
        <w:tc>
          <w:tcPr>
            <w:tcW w:w="276" w:type="dxa"/>
            <w:tcBorders>
              <w:right w:val="single" w:sz="6" w:space="0" w:color="000000"/>
            </w:tcBorders>
          </w:tcPr>
          <w:p w14:paraId="11A24741" w14:textId="40EC9304" w:rsidR="00E345BB" w:rsidRPr="00F51434" w:rsidRDefault="00E345BB">
            <w:pPr>
              <w:pStyle w:val="TableParagraph"/>
              <w:spacing w:line="194" w:lineRule="exact"/>
              <w:ind w:left="28"/>
              <w:jc w:val="center"/>
              <w:rPr>
                <w:rFonts w:ascii="Arial"/>
                <w:b/>
                <w:w w:val="105"/>
                <w:sz w:val="17"/>
                <w:lang w:val="en-GB"/>
              </w:rPr>
            </w:pPr>
          </w:p>
        </w:tc>
        <w:tc>
          <w:tcPr>
            <w:tcW w:w="2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11E49F6" w14:textId="159F0C29" w:rsidR="00E345BB" w:rsidRPr="00F51434" w:rsidRDefault="00E345BB" w:rsidP="005A3437">
            <w:pPr>
              <w:pStyle w:val="TableParagraph"/>
              <w:spacing w:line="194" w:lineRule="exact"/>
              <w:ind w:left="28"/>
              <w:jc w:val="center"/>
              <w:rPr>
                <w:rFonts w:ascii="Arial" w:eastAsia="Arial" w:hAnsi="Arial" w:cs="Arial"/>
                <w:sz w:val="17"/>
                <w:szCs w:val="17"/>
                <w:lang w:val="en-GB"/>
              </w:rPr>
            </w:pPr>
            <w:r w:rsidRPr="00F51434">
              <w:rPr>
                <w:rFonts w:ascii="Arial"/>
                <w:b/>
                <w:w w:val="105"/>
                <w:sz w:val="17"/>
                <w:lang w:val="en-GB"/>
              </w:rPr>
              <w:t>Risk</w:t>
            </w:r>
            <w:r w:rsidRPr="00F51434">
              <w:rPr>
                <w:rFonts w:ascii="Arial"/>
                <w:b/>
                <w:spacing w:val="-15"/>
                <w:w w:val="105"/>
                <w:sz w:val="17"/>
                <w:lang w:val="en-GB"/>
              </w:rPr>
              <w:t xml:space="preserve"> </w:t>
            </w:r>
            <w:r w:rsidRPr="00F51434">
              <w:rPr>
                <w:rFonts w:ascii="Arial"/>
                <w:b/>
                <w:spacing w:val="-3"/>
                <w:w w:val="105"/>
                <w:sz w:val="17"/>
                <w:lang w:val="en-GB"/>
              </w:rPr>
              <w:t>Area</w:t>
            </w:r>
          </w:p>
          <w:p w14:paraId="02081253" w14:textId="77777777" w:rsidR="00E345BB" w:rsidRPr="00F51434" w:rsidRDefault="00E345BB" w:rsidP="005A3437">
            <w:pPr>
              <w:pStyle w:val="TableParagraph"/>
              <w:spacing w:before="25"/>
              <w:ind w:left="1" w:firstLine="27"/>
              <w:jc w:val="center"/>
              <w:rPr>
                <w:rFonts w:ascii="Arial" w:eastAsia="Arial" w:hAnsi="Arial" w:cs="Arial"/>
                <w:sz w:val="17"/>
                <w:szCs w:val="17"/>
                <w:lang w:val="en-GB"/>
              </w:rPr>
            </w:pPr>
            <w:r w:rsidRPr="00F51434"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  <w:lang w:val="en-GB"/>
              </w:rPr>
              <w:t>"There</w:t>
            </w:r>
            <w:r w:rsidRPr="00F51434">
              <w:rPr>
                <w:rFonts w:ascii="Arial" w:eastAsia="Arial" w:hAnsi="Arial" w:cs="Arial"/>
                <w:b/>
                <w:bCs/>
                <w:spacing w:val="-12"/>
                <w:w w:val="105"/>
                <w:sz w:val="17"/>
                <w:szCs w:val="17"/>
                <w:lang w:val="en-GB"/>
              </w:rPr>
              <w:t xml:space="preserve"> </w:t>
            </w:r>
            <w:r w:rsidRPr="00F51434"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  <w:lang w:val="en-GB"/>
              </w:rPr>
              <w:t>is</w:t>
            </w:r>
            <w:r w:rsidRPr="00F51434">
              <w:rPr>
                <w:rFonts w:ascii="Arial" w:eastAsia="Arial" w:hAnsi="Arial" w:cs="Arial"/>
                <w:b/>
                <w:bCs/>
                <w:spacing w:val="-12"/>
                <w:w w:val="105"/>
                <w:sz w:val="17"/>
                <w:szCs w:val="17"/>
                <w:lang w:val="en-GB"/>
              </w:rPr>
              <w:t xml:space="preserve"> </w:t>
            </w:r>
            <w:r w:rsidRPr="00F51434"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  <w:lang w:val="en-GB"/>
              </w:rPr>
              <w:t>a</w:t>
            </w:r>
            <w:r w:rsidRPr="00F51434">
              <w:rPr>
                <w:rFonts w:ascii="Arial" w:eastAsia="Arial" w:hAnsi="Arial" w:cs="Arial"/>
                <w:b/>
                <w:bCs/>
                <w:spacing w:val="-12"/>
                <w:w w:val="105"/>
                <w:sz w:val="17"/>
                <w:szCs w:val="17"/>
                <w:lang w:val="en-GB"/>
              </w:rPr>
              <w:t xml:space="preserve"> </w:t>
            </w:r>
            <w:r w:rsidRPr="00F51434"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  <w:lang w:val="en-GB"/>
              </w:rPr>
              <w:t>risk</w:t>
            </w:r>
            <w:r w:rsidRPr="00F51434">
              <w:rPr>
                <w:rFonts w:ascii="Arial" w:eastAsia="Arial" w:hAnsi="Arial" w:cs="Arial"/>
                <w:b/>
                <w:bCs/>
                <w:spacing w:val="-12"/>
                <w:w w:val="105"/>
                <w:sz w:val="17"/>
                <w:szCs w:val="17"/>
                <w:lang w:val="en-GB"/>
              </w:rPr>
              <w:t xml:space="preserve"> </w:t>
            </w:r>
            <w:r w:rsidRPr="00F51434"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  <w:lang w:val="en-GB"/>
              </w:rPr>
              <w:t>that…"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AB3B739" w14:textId="33FAD308" w:rsidR="00E345BB" w:rsidRPr="00F51434" w:rsidRDefault="00E345BB" w:rsidP="005A3437">
            <w:pPr>
              <w:pStyle w:val="TableParagraph"/>
              <w:tabs>
                <w:tab w:val="left" w:pos="931"/>
              </w:tabs>
              <w:spacing w:line="271" w:lineRule="auto"/>
              <w:ind w:left="28" w:right="41"/>
              <w:jc w:val="center"/>
              <w:rPr>
                <w:rFonts w:ascii="Arial" w:eastAsia="Arial" w:hAnsi="Arial" w:cs="Arial"/>
                <w:sz w:val="17"/>
                <w:szCs w:val="17"/>
                <w:lang w:val="en-GB"/>
              </w:rPr>
            </w:pPr>
            <w:r w:rsidRPr="00F51434">
              <w:rPr>
                <w:rFonts w:ascii="Arial" w:eastAsia="Arial" w:hAnsi="Arial" w:cs="Arial"/>
                <w:b/>
                <w:bCs/>
                <w:spacing w:val="-3"/>
                <w:w w:val="105"/>
                <w:sz w:val="17"/>
                <w:szCs w:val="17"/>
                <w:lang w:val="en-GB"/>
              </w:rPr>
              <w:t xml:space="preserve">Analysis </w:t>
            </w:r>
            <w:r w:rsidRPr="00F51434"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  <w:lang w:val="en-GB"/>
              </w:rPr>
              <w:t>of</w:t>
            </w:r>
            <w:r w:rsidRPr="00F51434">
              <w:rPr>
                <w:rFonts w:ascii="Arial" w:eastAsia="Arial" w:hAnsi="Arial" w:cs="Arial"/>
                <w:b/>
                <w:bCs/>
                <w:spacing w:val="-4"/>
                <w:w w:val="105"/>
                <w:sz w:val="17"/>
                <w:szCs w:val="17"/>
                <w:lang w:val="en-GB"/>
              </w:rPr>
              <w:t xml:space="preserve"> </w:t>
            </w:r>
            <w:r w:rsidRPr="00F51434"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  <w:lang w:val="en-GB"/>
              </w:rPr>
              <w:t>Risk “Which</w:t>
            </w:r>
            <w:r w:rsidRPr="00F51434">
              <w:rPr>
                <w:rFonts w:ascii="Arial" w:eastAsia="Arial" w:hAnsi="Arial" w:cs="Arial"/>
                <w:b/>
                <w:bCs/>
                <w:spacing w:val="-13"/>
                <w:w w:val="105"/>
                <w:sz w:val="17"/>
                <w:szCs w:val="17"/>
                <w:lang w:val="en-GB"/>
              </w:rPr>
              <w:t xml:space="preserve"> </w:t>
            </w:r>
            <w:r w:rsidRPr="00F51434"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  <w:lang w:val="en-GB"/>
              </w:rPr>
              <w:t>will</w:t>
            </w:r>
            <w:r w:rsidRPr="00F51434">
              <w:rPr>
                <w:rFonts w:ascii="Arial" w:eastAsia="Arial" w:hAnsi="Arial" w:cs="Arial"/>
                <w:b/>
                <w:bCs/>
                <w:spacing w:val="-13"/>
                <w:w w:val="105"/>
                <w:sz w:val="17"/>
                <w:szCs w:val="17"/>
                <w:lang w:val="en-GB"/>
              </w:rPr>
              <w:t xml:space="preserve"> </w:t>
            </w:r>
            <w:r w:rsidRPr="00F51434"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  <w:lang w:val="en-GB"/>
              </w:rPr>
              <w:t>result</w:t>
            </w:r>
            <w:r w:rsidRPr="00F51434">
              <w:rPr>
                <w:rFonts w:ascii="Arial" w:eastAsia="Arial" w:hAnsi="Arial" w:cs="Arial"/>
                <w:b/>
                <w:bCs/>
                <w:spacing w:val="-13"/>
                <w:w w:val="105"/>
                <w:sz w:val="17"/>
                <w:szCs w:val="17"/>
                <w:lang w:val="en-GB"/>
              </w:rPr>
              <w:t xml:space="preserve"> </w:t>
            </w:r>
            <w:r w:rsidRPr="00F51434"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  <w:lang w:val="en-GB"/>
              </w:rPr>
              <w:t>in…"</w:t>
            </w:r>
          </w:p>
        </w:tc>
        <w:tc>
          <w:tcPr>
            <w:tcW w:w="12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924D472" w14:textId="77777777" w:rsidR="00E345BB" w:rsidRPr="00F51434" w:rsidRDefault="00E345BB" w:rsidP="005A3437">
            <w:pPr>
              <w:pStyle w:val="TableParagraph"/>
              <w:ind w:left="28"/>
              <w:jc w:val="center"/>
              <w:rPr>
                <w:rFonts w:ascii="Arial" w:eastAsia="Arial" w:hAnsi="Arial" w:cs="Arial"/>
                <w:sz w:val="17"/>
                <w:szCs w:val="17"/>
                <w:lang w:val="en-GB"/>
              </w:rPr>
            </w:pPr>
            <w:r w:rsidRPr="00F51434">
              <w:rPr>
                <w:rFonts w:ascii="Arial"/>
                <w:b/>
                <w:spacing w:val="-3"/>
                <w:w w:val="105"/>
                <w:sz w:val="17"/>
                <w:lang w:val="en-GB"/>
              </w:rPr>
              <w:t>Type</w:t>
            </w:r>
          </w:p>
        </w:tc>
        <w:tc>
          <w:tcPr>
            <w:tcW w:w="242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E861151" w14:textId="77777777" w:rsidR="00E345BB" w:rsidRPr="00F51434" w:rsidRDefault="00E345BB" w:rsidP="00420266">
            <w:pPr>
              <w:pStyle w:val="TableParagraph"/>
              <w:ind w:left="487"/>
              <w:rPr>
                <w:rFonts w:ascii="Arial" w:eastAsia="Arial" w:hAnsi="Arial" w:cs="Arial"/>
                <w:sz w:val="17"/>
                <w:szCs w:val="17"/>
                <w:lang w:val="en-GB"/>
              </w:rPr>
            </w:pPr>
            <w:r w:rsidRPr="00F51434">
              <w:rPr>
                <w:rFonts w:ascii="Arial"/>
                <w:b/>
                <w:w w:val="105"/>
                <w:sz w:val="17"/>
                <w:lang w:val="en-GB"/>
              </w:rPr>
              <w:t>Assessment</w:t>
            </w:r>
            <w:r w:rsidRPr="00F51434">
              <w:rPr>
                <w:rFonts w:ascii="Arial"/>
                <w:b/>
                <w:spacing w:val="-22"/>
                <w:w w:val="105"/>
                <w:sz w:val="17"/>
                <w:lang w:val="en-GB"/>
              </w:rPr>
              <w:t xml:space="preserve"> </w:t>
            </w:r>
            <w:r w:rsidRPr="00F51434">
              <w:rPr>
                <w:rFonts w:ascii="Arial"/>
                <w:b/>
                <w:w w:val="105"/>
                <w:sz w:val="17"/>
                <w:lang w:val="en-GB"/>
              </w:rPr>
              <w:t>of</w:t>
            </w:r>
            <w:r w:rsidRPr="00F51434">
              <w:rPr>
                <w:rFonts w:ascii="Arial"/>
                <w:b/>
                <w:spacing w:val="-22"/>
                <w:w w:val="105"/>
                <w:sz w:val="17"/>
                <w:lang w:val="en-GB"/>
              </w:rPr>
              <w:t xml:space="preserve"> </w:t>
            </w:r>
            <w:r w:rsidRPr="00F51434">
              <w:rPr>
                <w:rFonts w:ascii="Arial"/>
                <w:b/>
                <w:w w:val="105"/>
                <w:sz w:val="17"/>
                <w:lang w:val="en-GB"/>
              </w:rPr>
              <w:t>Risk</w:t>
            </w:r>
          </w:p>
        </w:tc>
        <w:tc>
          <w:tcPr>
            <w:tcW w:w="74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650497E" w14:textId="2D6F65F7" w:rsidR="00E345BB" w:rsidRPr="00F51434" w:rsidRDefault="00E345BB" w:rsidP="005A3437">
            <w:pPr>
              <w:pStyle w:val="TableParagraph"/>
              <w:ind w:left="28"/>
              <w:jc w:val="center"/>
              <w:rPr>
                <w:rFonts w:ascii="Arial" w:eastAsia="Arial" w:hAnsi="Arial" w:cs="Arial"/>
                <w:sz w:val="17"/>
                <w:szCs w:val="17"/>
                <w:lang w:val="en-GB"/>
              </w:rPr>
            </w:pPr>
            <w:r w:rsidRPr="00F51434">
              <w:rPr>
                <w:rFonts w:ascii="Arial"/>
                <w:b/>
                <w:w w:val="105"/>
                <w:sz w:val="17"/>
                <w:lang w:val="en-GB"/>
              </w:rPr>
              <w:t>Management</w:t>
            </w:r>
            <w:r w:rsidRPr="00F51434">
              <w:rPr>
                <w:rFonts w:ascii="Arial"/>
                <w:b/>
                <w:spacing w:val="-18"/>
                <w:w w:val="105"/>
                <w:sz w:val="17"/>
                <w:lang w:val="en-GB"/>
              </w:rPr>
              <w:t xml:space="preserve"> </w:t>
            </w:r>
            <w:r w:rsidRPr="00F51434">
              <w:rPr>
                <w:rFonts w:ascii="Arial"/>
                <w:b/>
                <w:w w:val="105"/>
                <w:sz w:val="17"/>
                <w:lang w:val="en-GB"/>
              </w:rPr>
              <w:t>Actions</w:t>
            </w:r>
          </w:p>
        </w:tc>
        <w:tc>
          <w:tcPr>
            <w:tcW w:w="234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C5044BD" w14:textId="77777777" w:rsidR="00E345BB" w:rsidRPr="00F51434" w:rsidRDefault="00E345BB" w:rsidP="00420266">
            <w:pPr>
              <w:pStyle w:val="TableParagraph"/>
              <w:ind w:left="487"/>
              <w:rPr>
                <w:rFonts w:ascii="Arial" w:eastAsia="Arial" w:hAnsi="Arial" w:cs="Arial"/>
                <w:sz w:val="17"/>
                <w:szCs w:val="17"/>
                <w:lang w:val="en-GB"/>
              </w:rPr>
            </w:pPr>
            <w:r w:rsidRPr="00F51434">
              <w:rPr>
                <w:rFonts w:ascii="Arial"/>
                <w:b/>
                <w:w w:val="105"/>
                <w:sz w:val="17"/>
                <w:lang w:val="en-GB"/>
              </w:rPr>
              <w:t>Assessment</w:t>
            </w:r>
            <w:r w:rsidRPr="00F51434">
              <w:rPr>
                <w:rFonts w:ascii="Arial"/>
                <w:b/>
                <w:spacing w:val="-22"/>
                <w:w w:val="105"/>
                <w:sz w:val="17"/>
                <w:lang w:val="en-GB"/>
              </w:rPr>
              <w:t xml:space="preserve"> </w:t>
            </w:r>
            <w:r w:rsidRPr="00F51434">
              <w:rPr>
                <w:rFonts w:ascii="Arial"/>
                <w:b/>
                <w:w w:val="105"/>
                <w:sz w:val="17"/>
                <w:lang w:val="en-GB"/>
              </w:rPr>
              <w:t>of</w:t>
            </w:r>
            <w:r w:rsidRPr="00F51434">
              <w:rPr>
                <w:rFonts w:ascii="Arial"/>
                <w:b/>
                <w:spacing w:val="-22"/>
                <w:w w:val="105"/>
                <w:sz w:val="17"/>
                <w:lang w:val="en-GB"/>
              </w:rPr>
              <w:t xml:space="preserve"> </w:t>
            </w:r>
            <w:r w:rsidRPr="00F51434">
              <w:rPr>
                <w:rFonts w:ascii="Arial"/>
                <w:b/>
                <w:w w:val="105"/>
                <w:sz w:val="17"/>
                <w:lang w:val="en-GB"/>
              </w:rPr>
              <w:t>Risk</w:t>
            </w:r>
          </w:p>
        </w:tc>
        <w:tc>
          <w:tcPr>
            <w:tcW w:w="1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E69B950" w14:textId="77777777" w:rsidR="00E345BB" w:rsidRPr="00F51434" w:rsidRDefault="00E345BB" w:rsidP="005A3437">
            <w:pPr>
              <w:pStyle w:val="TableParagraph"/>
              <w:spacing w:line="271" w:lineRule="auto"/>
              <w:ind w:left="28" w:right="-18"/>
              <w:jc w:val="center"/>
              <w:rPr>
                <w:rFonts w:ascii="Arial" w:eastAsia="Arial" w:hAnsi="Arial" w:cs="Arial"/>
                <w:sz w:val="17"/>
                <w:szCs w:val="17"/>
                <w:lang w:val="en-GB"/>
              </w:rPr>
            </w:pPr>
            <w:r w:rsidRPr="00F51434">
              <w:rPr>
                <w:rFonts w:ascii="Arial"/>
                <w:b/>
                <w:sz w:val="17"/>
                <w:lang w:val="en-GB"/>
              </w:rPr>
              <w:t>Responsible</w:t>
            </w:r>
            <w:r w:rsidRPr="00F51434">
              <w:rPr>
                <w:rFonts w:ascii="Arial"/>
                <w:b/>
                <w:spacing w:val="-19"/>
                <w:sz w:val="17"/>
                <w:lang w:val="en-GB"/>
              </w:rPr>
              <w:t xml:space="preserve"> </w:t>
            </w:r>
            <w:r w:rsidRPr="00F51434">
              <w:rPr>
                <w:rFonts w:ascii="Arial"/>
                <w:b/>
                <w:w w:val="105"/>
                <w:sz w:val="17"/>
                <w:lang w:val="en-GB"/>
              </w:rPr>
              <w:t>Officer</w:t>
            </w:r>
          </w:p>
        </w:tc>
      </w:tr>
      <w:tr w:rsidR="00E345BB" w:rsidRPr="00F51434" w14:paraId="1892368A" w14:textId="77777777" w:rsidTr="007B0C9F">
        <w:tc>
          <w:tcPr>
            <w:tcW w:w="276" w:type="dxa"/>
            <w:tcBorders>
              <w:right w:val="single" w:sz="6" w:space="0" w:color="000000"/>
            </w:tcBorders>
          </w:tcPr>
          <w:p w14:paraId="6A0B0AE9" w14:textId="77777777" w:rsidR="00E345BB" w:rsidRPr="00F51434" w:rsidRDefault="00E345BB" w:rsidP="00C04D67"/>
        </w:tc>
        <w:tc>
          <w:tcPr>
            <w:tcW w:w="27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59FC8F" w14:textId="19945199" w:rsidR="00E345BB" w:rsidRPr="00F51434" w:rsidRDefault="00E345BB" w:rsidP="00C04D67"/>
        </w:tc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23AC40D" w14:textId="77777777" w:rsidR="00E345BB" w:rsidRPr="00F51434" w:rsidRDefault="00E345BB" w:rsidP="00C04D67"/>
        </w:tc>
        <w:tc>
          <w:tcPr>
            <w:tcW w:w="12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3801938" w14:textId="77777777" w:rsidR="00E345BB" w:rsidRPr="00F51434" w:rsidRDefault="00E345BB" w:rsidP="00C04D67"/>
        </w:tc>
        <w:tc>
          <w:tcPr>
            <w:tcW w:w="242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41B6F" w14:textId="77777777" w:rsidR="00E345BB" w:rsidRPr="00F51434" w:rsidRDefault="00E345BB" w:rsidP="00C04D67">
            <w:pPr>
              <w:pStyle w:val="TableParagraph"/>
              <w:spacing w:before="6"/>
              <w:ind w:left="254"/>
              <w:rPr>
                <w:rFonts w:ascii="Arial" w:eastAsia="Arial" w:hAnsi="Arial" w:cs="Arial"/>
                <w:sz w:val="17"/>
                <w:szCs w:val="17"/>
                <w:lang w:val="en-GB"/>
              </w:rPr>
            </w:pPr>
            <w:r w:rsidRPr="00F51434">
              <w:rPr>
                <w:rFonts w:ascii="Arial"/>
                <w:b/>
                <w:w w:val="105"/>
                <w:sz w:val="17"/>
                <w:lang w:val="en-GB"/>
              </w:rPr>
              <w:t>original</w:t>
            </w:r>
            <w:r w:rsidRPr="00F51434">
              <w:rPr>
                <w:rFonts w:ascii="Arial"/>
                <w:b/>
                <w:spacing w:val="-17"/>
                <w:w w:val="105"/>
                <w:sz w:val="17"/>
                <w:lang w:val="en-GB"/>
              </w:rPr>
              <w:t xml:space="preserve"> </w:t>
            </w:r>
            <w:r w:rsidRPr="00F51434">
              <w:rPr>
                <w:rFonts w:ascii="Arial"/>
                <w:b/>
                <w:w w:val="105"/>
                <w:sz w:val="17"/>
                <w:lang w:val="en-GB"/>
              </w:rPr>
              <w:t>score</w:t>
            </w:r>
            <w:r w:rsidRPr="00F51434">
              <w:rPr>
                <w:rFonts w:ascii="Arial"/>
                <w:b/>
                <w:spacing w:val="-17"/>
                <w:w w:val="105"/>
                <w:sz w:val="17"/>
                <w:lang w:val="en-GB"/>
              </w:rPr>
              <w:t xml:space="preserve"> </w:t>
            </w:r>
            <w:r w:rsidRPr="00F51434">
              <w:rPr>
                <w:rFonts w:ascii="Arial"/>
                <w:b/>
                <w:w w:val="105"/>
                <w:sz w:val="17"/>
                <w:lang w:val="en-GB"/>
              </w:rPr>
              <w:t>in</w:t>
            </w:r>
            <w:r w:rsidRPr="00F51434">
              <w:rPr>
                <w:rFonts w:ascii="Arial"/>
                <w:b/>
                <w:spacing w:val="-17"/>
                <w:w w:val="105"/>
                <w:sz w:val="17"/>
                <w:lang w:val="en-GB"/>
              </w:rPr>
              <w:t xml:space="preserve"> </w:t>
            </w:r>
            <w:r w:rsidRPr="00F51434">
              <w:rPr>
                <w:rFonts w:ascii="Arial"/>
                <w:b/>
                <w:w w:val="105"/>
                <w:sz w:val="17"/>
                <w:lang w:val="en-GB"/>
              </w:rPr>
              <w:t>brackets</w:t>
            </w:r>
          </w:p>
        </w:tc>
        <w:tc>
          <w:tcPr>
            <w:tcW w:w="74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9AD63F8" w14:textId="77777777" w:rsidR="00E345BB" w:rsidRPr="00F51434" w:rsidRDefault="00E345BB" w:rsidP="00C04D67"/>
        </w:tc>
        <w:tc>
          <w:tcPr>
            <w:tcW w:w="234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0D11F" w14:textId="77777777" w:rsidR="00E345BB" w:rsidRPr="00F51434" w:rsidRDefault="00E345BB" w:rsidP="00C04D67">
            <w:pPr>
              <w:pStyle w:val="TableParagraph"/>
              <w:spacing w:before="6"/>
              <w:ind w:left="638"/>
              <w:rPr>
                <w:rFonts w:ascii="Arial" w:eastAsia="Arial" w:hAnsi="Arial" w:cs="Arial"/>
                <w:sz w:val="17"/>
                <w:szCs w:val="17"/>
                <w:lang w:val="en-GB"/>
              </w:rPr>
            </w:pPr>
            <w:r w:rsidRPr="00F51434">
              <w:rPr>
                <w:rFonts w:ascii="Arial"/>
                <w:b/>
                <w:sz w:val="17"/>
                <w:lang w:val="en-GB"/>
              </w:rPr>
              <w:t>after</w:t>
            </w:r>
            <w:r w:rsidRPr="00F51434">
              <w:rPr>
                <w:rFonts w:ascii="Arial"/>
                <w:b/>
                <w:spacing w:val="31"/>
                <w:sz w:val="17"/>
                <w:lang w:val="en-GB"/>
              </w:rPr>
              <w:t xml:space="preserve"> </w:t>
            </w:r>
            <w:r w:rsidRPr="00F51434">
              <w:rPr>
                <w:rFonts w:ascii="Arial"/>
                <w:b/>
                <w:sz w:val="17"/>
                <w:lang w:val="en-GB"/>
              </w:rPr>
              <w:t>mitigations</w:t>
            </w:r>
          </w:p>
        </w:tc>
        <w:tc>
          <w:tcPr>
            <w:tcW w:w="19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C37CA9" w14:textId="77777777" w:rsidR="00E345BB" w:rsidRPr="00F51434" w:rsidRDefault="00E345BB" w:rsidP="00C04D67"/>
        </w:tc>
      </w:tr>
      <w:tr w:rsidR="00E345BB" w:rsidRPr="00F51434" w14:paraId="22207E38" w14:textId="77777777" w:rsidTr="007B0C9F">
        <w:tc>
          <w:tcPr>
            <w:tcW w:w="276" w:type="dxa"/>
            <w:tcBorders>
              <w:right w:val="single" w:sz="6" w:space="0" w:color="000000"/>
            </w:tcBorders>
          </w:tcPr>
          <w:p w14:paraId="72874A3E" w14:textId="77777777" w:rsidR="00E345BB" w:rsidRPr="00F51434" w:rsidRDefault="00E345BB" w:rsidP="00C04D67"/>
        </w:tc>
        <w:tc>
          <w:tcPr>
            <w:tcW w:w="2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30920" w14:textId="44AE6C8E" w:rsidR="00E345BB" w:rsidRPr="00F51434" w:rsidRDefault="00E345BB" w:rsidP="00C04D67"/>
        </w:tc>
        <w:tc>
          <w:tcPr>
            <w:tcW w:w="4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1E4EB" w14:textId="77777777" w:rsidR="00E345BB" w:rsidRPr="00F51434" w:rsidRDefault="00E345BB" w:rsidP="00C04D67"/>
        </w:tc>
        <w:tc>
          <w:tcPr>
            <w:tcW w:w="12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7F27A" w14:textId="77777777" w:rsidR="00E345BB" w:rsidRPr="00F51434" w:rsidRDefault="00E345BB" w:rsidP="00C04D67"/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998EB" w14:textId="77777777" w:rsidR="00E345BB" w:rsidRPr="00F51434" w:rsidRDefault="00E345BB" w:rsidP="00C04D67">
            <w:pPr>
              <w:pStyle w:val="TableParagraph"/>
              <w:ind w:left="153"/>
              <w:rPr>
                <w:rFonts w:ascii="Arial"/>
                <w:b/>
                <w:w w:val="105"/>
                <w:sz w:val="14"/>
                <w:lang w:val="en-GB"/>
              </w:rPr>
            </w:pPr>
            <w:r w:rsidRPr="00F51434">
              <w:rPr>
                <w:rFonts w:ascii="Arial"/>
                <w:b/>
                <w:w w:val="105"/>
                <w:sz w:val="14"/>
                <w:lang w:val="en-GB"/>
              </w:rPr>
              <w:t>Impact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C59B2" w14:textId="77777777" w:rsidR="00E345BB" w:rsidRPr="00F51434" w:rsidRDefault="00E345BB" w:rsidP="00C04D67">
            <w:pPr>
              <w:pStyle w:val="TableParagraph"/>
              <w:spacing w:line="271" w:lineRule="auto"/>
              <w:ind w:left="391" w:right="27" w:hanging="360"/>
              <w:rPr>
                <w:rFonts w:ascii="Arial"/>
                <w:b/>
                <w:w w:val="105"/>
                <w:sz w:val="14"/>
                <w:lang w:val="en-GB"/>
              </w:rPr>
            </w:pPr>
            <w:r w:rsidRPr="00F51434">
              <w:rPr>
                <w:rFonts w:ascii="Arial"/>
                <w:b/>
                <w:w w:val="105"/>
                <w:sz w:val="14"/>
                <w:lang w:val="en-GB"/>
              </w:rPr>
              <w:t>Probability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6C616" w14:textId="77777777" w:rsidR="00E345BB" w:rsidRPr="00F51434" w:rsidRDefault="00E345BB" w:rsidP="00C04D67">
            <w:pPr>
              <w:pStyle w:val="TableParagraph"/>
              <w:ind w:left="163"/>
              <w:rPr>
                <w:rFonts w:ascii="Arial"/>
                <w:b/>
                <w:w w:val="105"/>
                <w:sz w:val="14"/>
                <w:lang w:val="en-GB"/>
              </w:rPr>
            </w:pPr>
            <w:r w:rsidRPr="00F51434">
              <w:rPr>
                <w:rFonts w:ascii="Arial"/>
                <w:b/>
                <w:w w:val="105"/>
                <w:sz w:val="14"/>
                <w:lang w:val="en-GB"/>
              </w:rPr>
              <w:t>Rating</w:t>
            </w:r>
          </w:p>
        </w:tc>
        <w:tc>
          <w:tcPr>
            <w:tcW w:w="74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A3028" w14:textId="77777777" w:rsidR="00E345BB" w:rsidRPr="00F51434" w:rsidRDefault="00E345BB" w:rsidP="00C04D67"/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5BAC7" w14:textId="77777777" w:rsidR="00E345BB" w:rsidRPr="00F51434" w:rsidRDefault="00E345BB" w:rsidP="00C04D67">
            <w:pPr>
              <w:pStyle w:val="TableParagraph"/>
              <w:ind w:left="153"/>
              <w:rPr>
                <w:rFonts w:ascii="Arial" w:eastAsia="Arial" w:hAnsi="Arial" w:cs="Arial"/>
                <w:sz w:val="14"/>
                <w:szCs w:val="17"/>
                <w:lang w:val="en-GB"/>
              </w:rPr>
            </w:pPr>
            <w:r w:rsidRPr="00F51434">
              <w:rPr>
                <w:rFonts w:ascii="Arial"/>
                <w:b/>
                <w:w w:val="105"/>
                <w:sz w:val="14"/>
                <w:lang w:val="en-GB"/>
              </w:rPr>
              <w:t>Impact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B7368" w14:textId="6F8EBA62" w:rsidR="00E345BB" w:rsidRPr="00F51434" w:rsidRDefault="00E345BB" w:rsidP="005A3437">
            <w:pPr>
              <w:pStyle w:val="TableParagraph"/>
              <w:spacing w:line="271" w:lineRule="auto"/>
              <w:ind w:left="391" w:right="27" w:hanging="360"/>
              <w:jc w:val="center"/>
              <w:rPr>
                <w:rFonts w:ascii="Arial" w:eastAsia="Arial" w:hAnsi="Arial" w:cs="Arial"/>
                <w:sz w:val="14"/>
                <w:szCs w:val="17"/>
                <w:lang w:val="en-GB"/>
              </w:rPr>
            </w:pPr>
            <w:r w:rsidRPr="00F51434">
              <w:rPr>
                <w:rFonts w:ascii="Arial"/>
                <w:b/>
                <w:sz w:val="14"/>
                <w:lang w:val="en-GB"/>
              </w:rPr>
              <w:t>Probability</w:t>
            </w:r>
            <w:r w:rsidRPr="00F51434">
              <w:rPr>
                <w:rFonts w:ascii="Arial"/>
                <w:b/>
                <w:spacing w:val="-28"/>
                <w:sz w:val="14"/>
                <w:lang w:val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B4792" w14:textId="77777777" w:rsidR="00E345BB" w:rsidRPr="00F51434" w:rsidRDefault="00E345BB" w:rsidP="00C04D67">
            <w:pPr>
              <w:pStyle w:val="TableParagraph"/>
              <w:ind w:left="163"/>
              <w:rPr>
                <w:rFonts w:ascii="Arial" w:eastAsia="Arial" w:hAnsi="Arial" w:cs="Arial"/>
                <w:sz w:val="14"/>
                <w:szCs w:val="17"/>
                <w:lang w:val="en-GB"/>
              </w:rPr>
            </w:pPr>
            <w:r w:rsidRPr="00F51434">
              <w:rPr>
                <w:rFonts w:ascii="Arial"/>
                <w:b/>
                <w:w w:val="105"/>
                <w:sz w:val="14"/>
                <w:lang w:val="en-GB"/>
              </w:rPr>
              <w:t>Rating</w:t>
            </w:r>
          </w:p>
        </w:tc>
        <w:tc>
          <w:tcPr>
            <w:tcW w:w="1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59636" w14:textId="77777777" w:rsidR="00E345BB" w:rsidRPr="00F51434" w:rsidRDefault="00E345BB" w:rsidP="00C04D67"/>
        </w:tc>
      </w:tr>
      <w:tr w:rsidR="00230950" w:rsidRPr="00F51434" w14:paraId="18D04244" w14:textId="77777777" w:rsidTr="007B0C9F">
        <w:tc>
          <w:tcPr>
            <w:tcW w:w="276" w:type="dxa"/>
            <w:tcBorders>
              <w:right w:val="single" w:sz="6" w:space="0" w:color="000000"/>
            </w:tcBorders>
          </w:tcPr>
          <w:p w14:paraId="6CFA4DCB" w14:textId="77777777" w:rsidR="00230950" w:rsidRPr="00CB6D67" w:rsidRDefault="00230950" w:rsidP="00C04D67">
            <w:pPr>
              <w:rPr>
                <w:sz w:val="20"/>
              </w:rPr>
            </w:pPr>
          </w:p>
        </w:tc>
        <w:tc>
          <w:tcPr>
            <w:tcW w:w="2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749F9" w14:textId="69111524" w:rsidR="00230950" w:rsidRPr="00CB6D67" w:rsidRDefault="00ED4818" w:rsidP="00C04D6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KEY FACILITIES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DBE95" w14:textId="77777777" w:rsidR="00230950" w:rsidRPr="00F51434" w:rsidRDefault="00230950" w:rsidP="00C04D67"/>
        </w:tc>
        <w:tc>
          <w:tcPr>
            <w:tcW w:w="12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52DE7" w14:textId="77777777" w:rsidR="00230950" w:rsidRPr="00F51434" w:rsidRDefault="00230950" w:rsidP="00C04D67"/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EAD3E" w14:textId="77777777" w:rsidR="00230950" w:rsidRPr="00F51434" w:rsidRDefault="00230950" w:rsidP="00C04D67">
            <w:pPr>
              <w:pStyle w:val="TableParagraph"/>
              <w:ind w:left="153"/>
              <w:rPr>
                <w:rFonts w:ascii="Arial"/>
                <w:b/>
                <w:w w:val="105"/>
                <w:sz w:val="14"/>
                <w:lang w:val="en-GB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8F173" w14:textId="77777777" w:rsidR="00230950" w:rsidRPr="00F51434" w:rsidRDefault="00230950" w:rsidP="00C04D67">
            <w:pPr>
              <w:pStyle w:val="TableParagraph"/>
              <w:spacing w:line="271" w:lineRule="auto"/>
              <w:ind w:left="391" w:right="27" w:hanging="360"/>
              <w:rPr>
                <w:rFonts w:ascii="Arial"/>
                <w:b/>
                <w:w w:val="105"/>
                <w:sz w:val="14"/>
                <w:lang w:val="en-GB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39F05" w14:textId="77777777" w:rsidR="00230950" w:rsidRPr="00F51434" w:rsidRDefault="00230950" w:rsidP="00C04D67">
            <w:pPr>
              <w:pStyle w:val="TableParagraph"/>
              <w:ind w:left="163"/>
              <w:rPr>
                <w:rFonts w:ascii="Arial"/>
                <w:b/>
                <w:w w:val="105"/>
                <w:sz w:val="14"/>
                <w:lang w:val="en-GB"/>
              </w:rPr>
            </w:pPr>
          </w:p>
        </w:tc>
        <w:tc>
          <w:tcPr>
            <w:tcW w:w="7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85F47" w14:textId="77777777" w:rsidR="00230950" w:rsidRPr="00F51434" w:rsidRDefault="00230950" w:rsidP="00C04D67"/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C062D" w14:textId="77777777" w:rsidR="00230950" w:rsidRPr="00F51434" w:rsidRDefault="00230950" w:rsidP="00C04D67">
            <w:pPr>
              <w:pStyle w:val="TableParagraph"/>
              <w:ind w:left="153"/>
              <w:rPr>
                <w:rFonts w:ascii="Arial"/>
                <w:b/>
                <w:w w:val="105"/>
                <w:sz w:val="14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5CEF5" w14:textId="77777777" w:rsidR="00230950" w:rsidRPr="00F51434" w:rsidRDefault="00230950" w:rsidP="005A3437">
            <w:pPr>
              <w:pStyle w:val="TableParagraph"/>
              <w:spacing w:line="271" w:lineRule="auto"/>
              <w:ind w:left="391" w:right="27" w:hanging="360"/>
              <w:jc w:val="center"/>
              <w:rPr>
                <w:rFonts w:ascii="Arial"/>
                <w:b/>
                <w:sz w:val="14"/>
                <w:lang w:val="en-GB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141FB" w14:textId="77777777" w:rsidR="00230950" w:rsidRPr="00F51434" w:rsidRDefault="00230950" w:rsidP="00C04D67">
            <w:pPr>
              <w:pStyle w:val="TableParagraph"/>
              <w:ind w:left="163"/>
              <w:rPr>
                <w:rFonts w:ascii="Arial"/>
                <w:b/>
                <w:w w:val="105"/>
                <w:sz w:val="14"/>
                <w:lang w:val="en-GB"/>
              </w:rPr>
            </w:pPr>
          </w:p>
        </w:tc>
        <w:tc>
          <w:tcPr>
            <w:tcW w:w="1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CFDC5" w14:textId="77777777" w:rsidR="00230950" w:rsidRPr="00F51434" w:rsidRDefault="00230950" w:rsidP="00C04D67"/>
        </w:tc>
      </w:tr>
      <w:tr w:rsidR="00A813DA" w:rsidRPr="00F51434" w14:paraId="077A9B3C" w14:textId="77777777" w:rsidTr="007B0C9F">
        <w:tc>
          <w:tcPr>
            <w:tcW w:w="276" w:type="dxa"/>
            <w:tcBorders>
              <w:right w:val="single" w:sz="6" w:space="0" w:color="000000"/>
            </w:tcBorders>
          </w:tcPr>
          <w:p w14:paraId="084A3A5D" w14:textId="77777777" w:rsidR="00A813DA" w:rsidRPr="00F51434" w:rsidDel="00B17706" w:rsidRDefault="00A813DA" w:rsidP="006341E0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DA6E0" w14:textId="3862B66A" w:rsidR="00A813DA" w:rsidRPr="004D3E3B" w:rsidRDefault="00A813DA" w:rsidP="006341E0">
            <w:pPr>
              <w:pStyle w:val="TableParagraph"/>
              <w:spacing w:line="264" w:lineRule="auto"/>
              <w:ind w:left="28" w:right="290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Off-takers for WLWA</w:t>
            </w: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’</w:t>
            </w: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 xml:space="preserve">s </w:t>
            </w:r>
            <w:r w:rsidR="000C4C0F"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 xml:space="preserve">HRRC </w:t>
            </w: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recyclables are unable to export materials from the UK.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7C97A" w14:textId="058ADCA2" w:rsidR="00A813DA" w:rsidRDefault="00A813DA" w:rsidP="00EB0154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Off-take contractors ending arrangements</w:t>
            </w:r>
            <w:r w:rsidR="008C49F8"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 xml:space="preserve"> or refusing to collect materials</w:t>
            </w:r>
          </w:p>
          <w:p w14:paraId="24E77263" w14:textId="622AB35D" w:rsidR="00A813DA" w:rsidRDefault="00A813DA" w:rsidP="00EB0154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 xml:space="preserve">Build-up of materials at Abbey Road leading to potential health and safety issues and </w:t>
            </w:r>
            <w:r w:rsidR="008C49F8"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traffic movement</w:t>
            </w: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 xml:space="preserve"> </w:t>
            </w:r>
            <w:r w:rsidR="008C49F8"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problems on-site</w:t>
            </w: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 xml:space="preserve"> </w:t>
            </w:r>
          </w:p>
          <w:p w14:paraId="75171C86" w14:textId="28A72F7C" w:rsidR="00A813DA" w:rsidRDefault="008C49F8" w:rsidP="00EB0154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Loss of income from selling recyclables</w:t>
            </w:r>
          </w:p>
          <w:p w14:paraId="06443CEA" w14:textId="77777777" w:rsidR="00A813DA" w:rsidRDefault="008C49F8" w:rsidP="008C49F8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Some recyclables e.g. paper and card being spoiled by rain and needing to be treated as residual waste at extra financial and environmental cost.</w:t>
            </w:r>
          </w:p>
          <w:p w14:paraId="7AE7B5D7" w14:textId="030A8545" w:rsidR="008C49F8" w:rsidRDefault="008C49F8" w:rsidP="008C49F8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Penalties or fines from the Environment Agency for breaching permit requirements on waste storage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7EA79" w14:textId="3D2B8C77" w:rsidR="00A813DA" w:rsidRDefault="008C49F8" w:rsidP="006341E0">
            <w:pPr>
              <w:pStyle w:val="TableParagraph"/>
              <w:spacing w:line="191" w:lineRule="exact"/>
              <w:ind w:left="28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Environmental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AF70D" w14:textId="5518D30C" w:rsidR="00A813DA" w:rsidRDefault="004119B8" w:rsidP="006341E0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4986B" w14:textId="604A04DE" w:rsidR="00A813DA" w:rsidRDefault="00771C52" w:rsidP="006341E0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3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vAlign w:val="center"/>
          </w:tcPr>
          <w:p w14:paraId="616833E2" w14:textId="0EB053B9" w:rsidR="00A813DA" w:rsidRDefault="00771C52" w:rsidP="006341E0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9</w:t>
            </w:r>
          </w:p>
        </w:tc>
        <w:tc>
          <w:tcPr>
            <w:tcW w:w="7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88621" w14:textId="77777777" w:rsidR="004119B8" w:rsidRDefault="004119B8" w:rsidP="004119B8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 w:rsidRPr="004119B8"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Identify</w:t>
            </w: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 xml:space="preserve"> highest risk materials and a list of potential off-takers</w:t>
            </w:r>
          </w:p>
          <w:p w14:paraId="28CA941C" w14:textId="77777777" w:rsidR="00A813DA" w:rsidRDefault="004119B8" w:rsidP="004119B8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 xml:space="preserve">Create a procurement plan for quickly securing new off-takers </w:t>
            </w:r>
          </w:p>
          <w:p w14:paraId="3AF11D9C" w14:textId="758F2E63" w:rsidR="004119B8" w:rsidRDefault="004119B8" w:rsidP="004119B8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Identify temporary storage space on site for high-risk materials</w:t>
            </w:r>
          </w:p>
          <w:p w14:paraId="39955609" w14:textId="77777777" w:rsidR="004119B8" w:rsidRDefault="004119B8" w:rsidP="004119B8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Arrange temporary permit changes with the Environment Agency</w:t>
            </w:r>
          </w:p>
          <w:p w14:paraId="759B5E68" w14:textId="503AD9CE" w:rsidR="00DC06C2" w:rsidRPr="004119B8" w:rsidRDefault="00DC06C2" w:rsidP="004119B8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Develop strong relationships with off-takers for HRRC materials to enable the quick identification and mitigation of issues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1BEE7" w14:textId="764CB99E" w:rsidR="00A813DA" w:rsidRDefault="004119B8" w:rsidP="006341E0">
            <w:pPr>
              <w:pStyle w:val="TableParagraph"/>
              <w:spacing w:line="191" w:lineRule="exact"/>
              <w:ind w:left="15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59F53" w14:textId="797574AA" w:rsidR="00A813DA" w:rsidRDefault="00952F3D" w:rsidP="006341E0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013E1337" w14:textId="4C938869" w:rsidR="00A813DA" w:rsidRDefault="00952F3D" w:rsidP="006341E0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3D336" w14:textId="5547CBD3" w:rsidR="00A813DA" w:rsidRDefault="004119B8" w:rsidP="002407B8">
            <w:pPr>
              <w:pStyle w:val="TableParagraph"/>
              <w:spacing w:line="191" w:lineRule="exact"/>
              <w:ind w:left="28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Operations Manager</w:t>
            </w:r>
          </w:p>
        </w:tc>
      </w:tr>
      <w:tr w:rsidR="000C4C0F" w:rsidRPr="00F51434" w14:paraId="3A4FCA1C" w14:textId="77777777" w:rsidTr="007B0C9F">
        <w:tc>
          <w:tcPr>
            <w:tcW w:w="276" w:type="dxa"/>
            <w:tcBorders>
              <w:right w:val="single" w:sz="6" w:space="0" w:color="000000"/>
            </w:tcBorders>
          </w:tcPr>
          <w:p w14:paraId="5B208E74" w14:textId="77777777" w:rsidR="000C4C0F" w:rsidRPr="00F51434" w:rsidDel="00B17706" w:rsidRDefault="000C4C0F" w:rsidP="006341E0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5E491" w14:textId="7A1BB91A" w:rsidR="000C4C0F" w:rsidRDefault="00D56722" w:rsidP="006341E0">
            <w:pPr>
              <w:pStyle w:val="TableParagraph"/>
              <w:spacing w:line="264" w:lineRule="auto"/>
              <w:ind w:left="28" w:right="290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 xml:space="preserve">Markets for outputs from the </w:t>
            </w:r>
            <w:r w:rsidR="00E72628"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 xml:space="preserve">WLWA </w:t>
            </w: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 xml:space="preserve">MRF contract </w:t>
            </w:r>
            <w:r w:rsidR="00E72628"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(</w:t>
            </w: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for Ealing</w:t>
            </w: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’</w:t>
            </w: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s DMR</w:t>
            </w:r>
            <w:r w:rsidR="00E72628"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)</w:t>
            </w: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 xml:space="preserve"> harden or fall away as export becomes more difficult.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CAB75" w14:textId="2EE9580D" w:rsidR="000C4C0F" w:rsidRDefault="00D107CD" w:rsidP="00EB0154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Increase in contract costs, as a result of reduced income or disposal of some outputs</w:t>
            </w:r>
            <w:r w:rsidR="00020A9C"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, or rejection of more inputs</w:t>
            </w: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. Costs are pass-through back to Ealing</w:t>
            </w:r>
          </w:p>
          <w:p w14:paraId="7C1E3BC7" w14:textId="7716BFBF" w:rsidR="00D107CD" w:rsidRDefault="00D107CD" w:rsidP="00EB0154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Throughput of MRF is reduced</w:t>
            </w:r>
            <w:r w:rsidR="00020A9C"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, meaning some material is turned away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E84ED5" w14:textId="5F415BCE" w:rsidR="000C4C0F" w:rsidRDefault="00020A9C" w:rsidP="006341E0">
            <w:pPr>
              <w:pStyle w:val="TableParagraph"/>
              <w:spacing w:line="191" w:lineRule="exact"/>
              <w:ind w:left="28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Economic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51FDE" w14:textId="0940A492" w:rsidR="000C4C0F" w:rsidRDefault="00E72628" w:rsidP="006341E0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43D00" w14:textId="65237483" w:rsidR="000C4C0F" w:rsidRDefault="002B4197" w:rsidP="006341E0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3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vAlign w:val="center"/>
          </w:tcPr>
          <w:p w14:paraId="5CE4E910" w14:textId="6E631A0E" w:rsidR="000C4C0F" w:rsidRDefault="00E72628" w:rsidP="006341E0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1</w:t>
            </w:r>
            <w:r w:rsidR="002B4197"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2</w:t>
            </w:r>
          </w:p>
        </w:tc>
        <w:tc>
          <w:tcPr>
            <w:tcW w:w="7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5EE3D" w14:textId="4EC17AE6" w:rsidR="00D107CD" w:rsidRDefault="00D107CD" w:rsidP="0051490C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Use contract mechanisms to prevent pass-through of financial risk to WLWA and Ealing</w:t>
            </w:r>
          </w:p>
          <w:p w14:paraId="6F94B453" w14:textId="3C358E13" w:rsidR="00020A9C" w:rsidRDefault="00020A9C" w:rsidP="0051490C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Communicate frequently with Ealing officers about the need to keep the material out of the WLWA residual waste system</w:t>
            </w:r>
          </w:p>
          <w:p w14:paraId="6D9844B1" w14:textId="35A787B1" w:rsidR="00E72628" w:rsidRDefault="00E72628" w:rsidP="0051490C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Support Ealing with communications work to encourage residents to minimise DMR contamination</w:t>
            </w:r>
          </w:p>
          <w:p w14:paraId="54CDF044" w14:textId="440C4D52" w:rsidR="00D107CD" w:rsidRDefault="00D107CD" w:rsidP="0051490C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 xml:space="preserve">Use DPS to source contingency capacity </w:t>
            </w:r>
            <w:r w:rsidR="00020A9C"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if necessary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7384A" w14:textId="770D51D0" w:rsidR="000C4C0F" w:rsidRDefault="00E72628" w:rsidP="006341E0">
            <w:pPr>
              <w:pStyle w:val="TableParagraph"/>
              <w:spacing w:line="191" w:lineRule="exact"/>
              <w:ind w:left="15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77C0D" w14:textId="55088176" w:rsidR="000C4C0F" w:rsidRDefault="00E72628" w:rsidP="006341E0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4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21AEBA4B" w14:textId="425B7118" w:rsidR="000C4C0F" w:rsidRDefault="00E72628" w:rsidP="006341E0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D923B" w14:textId="0EA37B3E" w:rsidR="000C4C0F" w:rsidRDefault="00E72628" w:rsidP="002407B8">
            <w:pPr>
              <w:pStyle w:val="TableParagraph"/>
              <w:spacing w:line="191" w:lineRule="exact"/>
              <w:ind w:left="28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Contracts Manager</w:t>
            </w:r>
          </w:p>
        </w:tc>
      </w:tr>
      <w:tr w:rsidR="00E72628" w:rsidRPr="00F51434" w14:paraId="2EB8CC14" w14:textId="77777777" w:rsidTr="007B0C9F">
        <w:tc>
          <w:tcPr>
            <w:tcW w:w="276" w:type="dxa"/>
            <w:tcBorders>
              <w:right w:val="single" w:sz="6" w:space="0" w:color="000000"/>
            </w:tcBorders>
          </w:tcPr>
          <w:p w14:paraId="079A738D" w14:textId="77777777" w:rsidR="00E72628" w:rsidRPr="00F51434" w:rsidDel="00B17706" w:rsidRDefault="00E72628" w:rsidP="00E72628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FADD5" w14:textId="7CC2A3C7" w:rsidR="00E72628" w:rsidRDefault="00E72628" w:rsidP="00E72628">
            <w:pPr>
              <w:pStyle w:val="TableParagraph"/>
              <w:spacing w:line="264" w:lineRule="auto"/>
              <w:ind w:left="28" w:right="290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Markets for outputs from the Borough MRF contract</w:t>
            </w:r>
            <w:r w:rsidR="00DC06C2"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s</w:t>
            </w: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 xml:space="preserve"> harden or fall away as export becomes more difficult.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BA0CD" w14:textId="7C2118C0" w:rsidR="00D412BA" w:rsidRDefault="00D412BA" w:rsidP="00E72628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 xml:space="preserve">Increase in contract costs to Boroughs, as a result of reduced income or disposal of some outputs, or rejection of more inputs. </w:t>
            </w:r>
          </w:p>
          <w:p w14:paraId="4ACC9467" w14:textId="12C2A90A" w:rsidR="00E72628" w:rsidRDefault="00E72628" w:rsidP="00E72628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Boroughs sending DMR into the WLW residual waste system, exceeding the system</w:t>
            </w: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’</w:t>
            </w: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s capacity</w:t>
            </w:r>
            <w:r w:rsidR="00D412BA"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, and significantly increasing carbon and cost.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60CF6" w14:textId="3BD44786" w:rsidR="00E72628" w:rsidRDefault="006065B5" w:rsidP="00E72628">
            <w:pPr>
              <w:pStyle w:val="TableParagraph"/>
              <w:spacing w:line="191" w:lineRule="exact"/>
              <w:ind w:left="28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E</w:t>
            </w:r>
            <w:r w:rsidR="00B0620B"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conomic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BEF2A" w14:textId="08BEC755" w:rsidR="00E72628" w:rsidRDefault="006065B5" w:rsidP="00E72628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30821" w14:textId="72381923" w:rsidR="00E72628" w:rsidRDefault="002B4197" w:rsidP="00E72628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3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vAlign w:val="center"/>
          </w:tcPr>
          <w:p w14:paraId="43BBCD14" w14:textId="3C6A9F2A" w:rsidR="00E72628" w:rsidRDefault="002B4197" w:rsidP="00E72628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15</w:t>
            </w:r>
          </w:p>
        </w:tc>
        <w:tc>
          <w:tcPr>
            <w:tcW w:w="7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0994C" w14:textId="2C3D8936" w:rsidR="006065B5" w:rsidRDefault="006065B5" w:rsidP="006065B5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Communicate frequently with Borough Members</w:t>
            </w:r>
            <w:r w:rsidR="00B0620B"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 xml:space="preserve"> and</w:t>
            </w: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 xml:space="preserve"> officers about the need to keep the material out of the WLWA residual waste system</w:t>
            </w:r>
          </w:p>
          <w:p w14:paraId="1DD5DD77" w14:textId="5CEC61F9" w:rsidR="006065B5" w:rsidRDefault="006065B5" w:rsidP="006065B5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 xml:space="preserve">Support </w:t>
            </w:r>
            <w:r w:rsidR="00B0620B"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Boroughs</w:t>
            </w: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 xml:space="preserve"> with communications work to encourage residents to minimise DMR contamination</w:t>
            </w:r>
          </w:p>
          <w:p w14:paraId="16B7521C" w14:textId="7A4B41F9" w:rsidR="00E72628" w:rsidRDefault="006065B5" w:rsidP="006065B5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 xml:space="preserve">Use DPS to source contingency </w:t>
            </w:r>
            <w:r w:rsidR="00B0620B"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 xml:space="preserve">DMR or residual waste </w:t>
            </w: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capacity if necessary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5A77C" w14:textId="7F5C2D31" w:rsidR="00E72628" w:rsidRDefault="00B0620B" w:rsidP="00E72628">
            <w:pPr>
              <w:pStyle w:val="TableParagraph"/>
              <w:spacing w:line="191" w:lineRule="exact"/>
              <w:ind w:left="15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6F313" w14:textId="707461EB" w:rsidR="00E72628" w:rsidRDefault="002B4197" w:rsidP="00E72628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vAlign w:val="center"/>
          </w:tcPr>
          <w:p w14:paraId="7027EE20" w14:textId="39890041" w:rsidR="00E72628" w:rsidRDefault="002B4197" w:rsidP="00E72628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733BE" w14:textId="4CFACD09" w:rsidR="00E72628" w:rsidRDefault="00B0620B" w:rsidP="00E72628">
            <w:pPr>
              <w:pStyle w:val="TableParagraph"/>
              <w:spacing w:line="191" w:lineRule="exact"/>
              <w:ind w:left="28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Head of Service Delivery</w:t>
            </w:r>
          </w:p>
        </w:tc>
      </w:tr>
      <w:tr w:rsidR="002B4197" w:rsidRPr="00F51434" w14:paraId="7ABA1D97" w14:textId="77777777" w:rsidTr="007B0C9F">
        <w:tc>
          <w:tcPr>
            <w:tcW w:w="276" w:type="dxa"/>
            <w:tcBorders>
              <w:right w:val="single" w:sz="6" w:space="0" w:color="000000"/>
            </w:tcBorders>
          </w:tcPr>
          <w:p w14:paraId="282DDB94" w14:textId="77777777" w:rsidR="002B4197" w:rsidRPr="00F51434" w:rsidDel="00B17706" w:rsidRDefault="002B4197" w:rsidP="002B419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D9077" w14:textId="4DF6D313" w:rsidR="002B4197" w:rsidRPr="004D3E3B" w:rsidRDefault="002B4197" w:rsidP="002B4197">
            <w:pPr>
              <w:pStyle w:val="TableParagraph"/>
              <w:spacing w:line="264" w:lineRule="auto"/>
              <w:ind w:left="28" w:right="290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Residual waste off-takers are unable to export refuse derived fuel (RDF) to overseas facilities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BD495" w14:textId="074F1BF5" w:rsidR="002B4197" w:rsidRDefault="002B4197" w:rsidP="002B4197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A need to acquire UK based capacity for residual waste tonnage, leading to hardening of the market, increased cost and possibly a need to landfill.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07508A" w14:textId="66DB8157" w:rsidR="002B4197" w:rsidRDefault="002B4197" w:rsidP="002B4197">
            <w:pPr>
              <w:pStyle w:val="TableParagraph"/>
              <w:spacing w:line="191" w:lineRule="exact"/>
              <w:ind w:left="28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Economic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9AB01" w14:textId="0DFDCF6F" w:rsidR="002B4197" w:rsidRDefault="002B4197" w:rsidP="002B419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21C5B" w14:textId="5D0B8D38" w:rsidR="002B4197" w:rsidRDefault="002B4197" w:rsidP="002B419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2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3FD6A47A" w14:textId="0FC6FB14" w:rsidR="002B4197" w:rsidRDefault="002B4197" w:rsidP="002B419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6</w:t>
            </w:r>
          </w:p>
        </w:tc>
        <w:tc>
          <w:tcPr>
            <w:tcW w:w="7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C8D4A" w14:textId="362F91CE" w:rsidR="002B4197" w:rsidRPr="00020A9C" w:rsidRDefault="002B4197" w:rsidP="002B4197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  <w:u w:val="single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 xml:space="preserve">Understand the quantities of residual waste affected </w:t>
            </w: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–</w:t>
            </w: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 xml:space="preserve"> currently none </w:t>
            </w: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–</w:t>
            </w: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 xml:space="preserve"> Suez Hayes is the only facility exporting residual waste and this is going to only UK facilities from 19 December 2020.</w:t>
            </w:r>
          </w:p>
          <w:p w14:paraId="2870B8DC" w14:textId="0EB20672" w:rsidR="002B4197" w:rsidRPr="0023426B" w:rsidRDefault="002B4197" w:rsidP="002B4197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  <w:u w:val="single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 xml:space="preserve">Use contract mechanisms to prevent pass-through of financial risk to WLWA 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08FEA" w14:textId="5EAE0ECA" w:rsidR="002B4197" w:rsidRDefault="002B4197" w:rsidP="002B4197">
            <w:pPr>
              <w:pStyle w:val="TableParagraph"/>
              <w:spacing w:line="191" w:lineRule="exact"/>
              <w:ind w:left="15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DBC22" w14:textId="567A513E" w:rsidR="002B4197" w:rsidRDefault="002B4197" w:rsidP="002B4197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2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353719B4" w14:textId="2D8BAD03" w:rsidR="002B4197" w:rsidRDefault="002B4197" w:rsidP="002B4197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1CE75" w14:textId="5D3717EE" w:rsidR="002B4197" w:rsidRDefault="002B4197" w:rsidP="002B4197">
            <w:pPr>
              <w:pStyle w:val="TableParagraph"/>
              <w:spacing w:line="191" w:lineRule="exact"/>
              <w:ind w:left="28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 w:rsidRPr="0062463A"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Head of Service Delivery</w:t>
            </w:r>
          </w:p>
        </w:tc>
      </w:tr>
      <w:tr w:rsidR="002B4197" w:rsidRPr="00F51434" w14:paraId="51B42200" w14:textId="77777777" w:rsidTr="007B0C9F">
        <w:tc>
          <w:tcPr>
            <w:tcW w:w="276" w:type="dxa"/>
            <w:tcBorders>
              <w:right w:val="single" w:sz="6" w:space="0" w:color="000000"/>
            </w:tcBorders>
          </w:tcPr>
          <w:p w14:paraId="7839755B" w14:textId="77777777" w:rsidR="002B4197" w:rsidRPr="00F51434" w:rsidDel="00B17706" w:rsidRDefault="002B4197" w:rsidP="002B419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809A9" w14:textId="10303008" w:rsidR="002B4197" w:rsidRPr="004D3E3B" w:rsidRDefault="002B4197" w:rsidP="002B4197">
            <w:pPr>
              <w:pStyle w:val="TableParagraph"/>
              <w:spacing w:line="264" w:lineRule="auto"/>
              <w:ind w:left="28" w:right="290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Wood waste off-takers are unable to export wood to overseas biomass facilities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77DEB" w14:textId="75681D0E" w:rsidR="002B4197" w:rsidRDefault="002B4197" w:rsidP="002B4197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A need to acquire UK based capacity for wood waste tonnage, leading to hardening of the market, increased cost and possibly a need to send to energy from waste or landfill.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6A54C" w14:textId="06FEB982" w:rsidR="002B4197" w:rsidRDefault="002B4197" w:rsidP="002B4197">
            <w:pPr>
              <w:pStyle w:val="TableParagraph"/>
              <w:spacing w:line="191" w:lineRule="exact"/>
              <w:ind w:left="28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Economic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01114" w14:textId="751F6247" w:rsidR="002B4197" w:rsidRDefault="002B4197" w:rsidP="002B419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BF626" w14:textId="500A2485" w:rsidR="002B4197" w:rsidRDefault="002B4197" w:rsidP="002B419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2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2BDEC707" w14:textId="5251D906" w:rsidR="002B4197" w:rsidRDefault="002B4197" w:rsidP="002B419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6</w:t>
            </w:r>
          </w:p>
        </w:tc>
        <w:tc>
          <w:tcPr>
            <w:tcW w:w="7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3BA23" w14:textId="3125CF3D" w:rsidR="002B4197" w:rsidRPr="0051490C" w:rsidRDefault="002B4197" w:rsidP="002B4197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  <w:u w:val="single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 xml:space="preserve">Understand the quantities of wood waste affected </w:t>
            </w: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–</w:t>
            </w: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 xml:space="preserve"> currently none </w:t>
            </w: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–</w:t>
            </w: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 xml:space="preserve"> Suez sub-contracts to Stobart who uses UK based biomass facilities.</w:t>
            </w:r>
          </w:p>
          <w:p w14:paraId="1C862C5D" w14:textId="00E88E89" w:rsidR="002B4197" w:rsidRPr="0023426B" w:rsidRDefault="002B4197" w:rsidP="002B4197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  <w:u w:val="single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 xml:space="preserve">Use contract mechanisms to prevent pass-through of financial risk to WLWA 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60B6F0" w14:textId="74B0CB9F" w:rsidR="002B4197" w:rsidRDefault="002B4197" w:rsidP="002B4197">
            <w:pPr>
              <w:pStyle w:val="TableParagraph"/>
              <w:spacing w:line="191" w:lineRule="exact"/>
              <w:ind w:left="15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6F625" w14:textId="3D809942" w:rsidR="002B4197" w:rsidRDefault="002B4197" w:rsidP="002B4197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2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2A2DC4EE" w14:textId="09846028" w:rsidR="002B4197" w:rsidRDefault="002B4197" w:rsidP="002B4197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8AFFC" w14:textId="35C8906B" w:rsidR="002B4197" w:rsidRDefault="002B4197" w:rsidP="002B4197">
            <w:pPr>
              <w:pStyle w:val="TableParagraph"/>
              <w:spacing w:line="191" w:lineRule="exact"/>
              <w:ind w:left="28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 w:rsidRPr="0062463A"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Head of Service Delivery</w:t>
            </w:r>
          </w:p>
        </w:tc>
      </w:tr>
      <w:tr w:rsidR="00952F3D" w:rsidRPr="00F51434" w14:paraId="47F6C80A" w14:textId="77777777" w:rsidTr="007B0C9F">
        <w:tc>
          <w:tcPr>
            <w:tcW w:w="276" w:type="dxa"/>
            <w:tcBorders>
              <w:right w:val="single" w:sz="6" w:space="0" w:color="000000"/>
            </w:tcBorders>
          </w:tcPr>
          <w:p w14:paraId="00D0210D" w14:textId="77777777" w:rsidR="00952F3D" w:rsidRPr="00F51434" w:rsidDel="00B17706" w:rsidRDefault="00952F3D" w:rsidP="00952F3D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0A080" w14:textId="1655CE90" w:rsidR="00952F3D" w:rsidRDefault="00952F3D" w:rsidP="00952F3D">
            <w:pPr>
              <w:pStyle w:val="TableParagraph"/>
              <w:spacing w:line="264" w:lineRule="auto"/>
              <w:ind w:left="28" w:right="290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 xml:space="preserve">Mattress off-taker is unable to process as many mattresses due to staff shortages and/or lack of overseas markets for outputs.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B4D7E" w14:textId="77777777" w:rsidR="00952F3D" w:rsidRDefault="00952F3D" w:rsidP="00952F3D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Accumulation of mattresses at Abbey Road</w:t>
            </w:r>
          </w:p>
          <w:p w14:paraId="4777418E" w14:textId="77777777" w:rsidR="00952F3D" w:rsidRDefault="00952F3D" w:rsidP="00952F3D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Accumulation of mattresses at major WTSs</w:t>
            </w:r>
          </w:p>
          <w:p w14:paraId="06A673E8" w14:textId="77777777" w:rsidR="00952F3D" w:rsidRDefault="00952F3D" w:rsidP="00952F3D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Accumulation of mattresses at Borough sites</w:t>
            </w:r>
          </w:p>
          <w:p w14:paraId="066A31DC" w14:textId="500F136A" w:rsidR="00952F3D" w:rsidRDefault="00952F3D" w:rsidP="00952F3D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Increased financial and environmental costs from sending mattresses to landfill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77E51" w14:textId="245260E4" w:rsidR="00952F3D" w:rsidRDefault="00952F3D" w:rsidP="00952F3D">
            <w:pPr>
              <w:pStyle w:val="TableParagraph"/>
              <w:spacing w:line="191" w:lineRule="exact"/>
              <w:ind w:left="28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Economic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5C883" w14:textId="52E4F2AB" w:rsidR="00952F3D" w:rsidRDefault="00952F3D" w:rsidP="00952F3D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6A1052" w14:textId="343E71BF" w:rsidR="00952F3D" w:rsidRDefault="00952F3D" w:rsidP="00952F3D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3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vAlign w:val="center"/>
          </w:tcPr>
          <w:p w14:paraId="3401059D" w14:textId="5A9E8E3E" w:rsidR="00952F3D" w:rsidRDefault="00952F3D" w:rsidP="00952F3D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9</w:t>
            </w:r>
          </w:p>
        </w:tc>
        <w:tc>
          <w:tcPr>
            <w:tcW w:w="7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03A1C" w14:textId="77777777" w:rsidR="00952F3D" w:rsidRDefault="00952F3D" w:rsidP="00952F3D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 xml:space="preserve">Regular dialogue with </w:t>
            </w:r>
            <w:proofErr w:type="spellStart"/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MattUK</w:t>
            </w:r>
            <w:proofErr w:type="spellEnd"/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 xml:space="preserve"> to enable the quick identification and mitigation of issues</w:t>
            </w:r>
          </w:p>
          <w:p w14:paraId="6914C447" w14:textId="77777777" w:rsidR="00952F3D" w:rsidRDefault="00952F3D" w:rsidP="00952F3D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Suez residual waste contract is the contingency. Keep Suez, transport hauliers and Borough sites informed of potential issues</w:t>
            </w:r>
          </w:p>
          <w:p w14:paraId="68F1242F" w14:textId="77777777" w:rsidR="00952F3D" w:rsidRDefault="00952F3D" w:rsidP="00952F3D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Create a contingency plan with Suez, transport hauliers and Boroughs for getting mattresses to the major WTSs</w:t>
            </w:r>
          </w:p>
          <w:p w14:paraId="26411A20" w14:textId="0E5BA620" w:rsidR="00952F3D" w:rsidRDefault="00952F3D" w:rsidP="00952F3D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 xml:space="preserve">Use contract mechanisms to prevent pass-through of financial risk to WLWA 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3F90B" w14:textId="0FC3C2E8" w:rsidR="00952F3D" w:rsidRDefault="00952F3D" w:rsidP="00952F3D">
            <w:pPr>
              <w:pStyle w:val="TableParagraph"/>
              <w:spacing w:line="191" w:lineRule="exact"/>
              <w:ind w:left="15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5F66A" w14:textId="641904B6" w:rsidR="00952F3D" w:rsidRDefault="00952F3D" w:rsidP="00952F3D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0A8AE4B4" w14:textId="2ED6B06E" w:rsidR="00952F3D" w:rsidRDefault="00952F3D" w:rsidP="00952F3D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74769B" w14:textId="0221496D" w:rsidR="00952F3D" w:rsidRPr="0062463A" w:rsidRDefault="00952F3D" w:rsidP="00952F3D">
            <w:pPr>
              <w:pStyle w:val="TableParagraph"/>
              <w:spacing w:line="191" w:lineRule="exact"/>
              <w:ind w:left="28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 w:rsidRPr="0062463A"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Head of Service Delivery</w:t>
            </w:r>
          </w:p>
        </w:tc>
      </w:tr>
      <w:tr w:rsidR="00952F3D" w:rsidRPr="00F51434" w14:paraId="214A0EED" w14:textId="77777777" w:rsidTr="007B0C9F">
        <w:tc>
          <w:tcPr>
            <w:tcW w:w="276" w:type="dxa"/>
            <w:tcBorders>
              <w:right w:val="single" w:sz="6" w:space="0" w:color="000000"/>
            </w:tcBorders>
          </w:tcPr>
          <w:p w14:paraId="5EC6C5A5" w14:textId="77777777" w:rsidR="00952F3D" w:rsidRPr="00F51434" w:rsidDel="00B17706" w:rsidRDefault="00952F3D" w:rsidP="00952F3D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943E1" w14:textId="41339055" w:rsidR="00952F3D" w:rsidRPr="004D3E3B" w:rsidRDefault="00952F3D" w:rsidP="00952F3D">
            <w:pPr>
              <w:pStyle w:val="TableParagraph"/>
              <w:spacing w:line="264" w:lineRule="auto"/>
              <w:ind w:left="28" w:right="290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There is a shortage of diesel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0E442" w14:textId="79800073" w:rsidR="00952F3D" w:rsidRDefault="00952F3D" w:rsidP="00952F3D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Collection crews are unable to run some collection services</w:t>
            </w:r>
          </w:p>
          <w:p w14:paraId="1EEEF6F8" w14:textId="55D3D074" w:rsidR="00952F3D" w:rsidRDefault="00952F3D" w:rsidP="00952F3D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HRRCs and transfer stations are unable to run mobile plant, requiring significant changes to how the sites are operated.</w:t>
            </w:r>
          </w:p>
          <w:p w14:paraId="551FB892" w14:textId="77777777" w:rsidR="00952F3D" w:rsidRDefault="00952F3D" w:rsidP="00952F3D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Contractors are unable to collect some wastes from Borough sites resulting in accumulation of waste at the sites</w:t>
            </w:r>
          </w:p>
          <w:p w14:paraId="34CDC8A9" w14:textId="474B7BBA" w:rsidR="00952F3D" w:rsidRDefault="00952F3D" w:rsidP="00952F3D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A reduction in trains to SERC, leading to accumulation of waste at transfer stations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7BE87" w14:textId="31B98D52" w:rsidR="00952F3D" w:rsidRDefault="00952F3D" w:rsidP="00952F3D">
            <w:pPr>
              <w:pStyle w:val="TableParagraph"/>
              <w:spacing w:line="191" w:lineRule="exact"/>
              <w:ind w:left="28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Environmental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537A8" w14:textId="2209647F" w:rsidR="00952F3D" w:rsidRDefault="00952F3D" w:rsidP="00952F3D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E4F01C" w14:textId="7794FC1F" w:rsidR="00952F3D" w:rsidRDefault="00952F3D" w:rsidP="00952F3D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1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49DC5855" w14:textId="20A44894" w:rsidR="00952F3D" w:rsidRDefault="00952F3D" w:rsidP="00952F3D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5</w:t>
            </w:r>
          </w:p>
        </w:tc>
        <w:tc>
          <w:tcPr>
            <w:tcW w:w="7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2918B" w14:textId="1AC74651" w:rsidR="00952F3D" w:rsidRPr="00DA04EB" w:rsidRDefault="00952F3D" w:rsidP="00952F3D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  <w:u w:val="single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Ensure diesel storage is maximised at Abbey Road</w:t>
            </w:r>
          </w:p>
          <w:p w14:paraId="69E1444D" w14:textId="7E6D89B1" w:rsidR="00952F3D" w:rsidRPr="00DA04EB" w:rsidRDefault="00952F3D" w:rsidP="00952F3D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  <w:u w:val="single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Have a plan ready for running Abbey Road with minimal plant and no plant (may involve closing the transfer station)</w:t>
            </w:r>
          </w:p>
          <w:p w14:paraId="4787AB62" w14:textId="77777777" w:rsidR="00952F3D" w:rsidRPr="00DA04EB" w:rsidRDefault="00952F3D" w:rsidP="00952F3D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  <w:u w:val="single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 xml:space="preserve">Check contractors have plans in place for accessing diesel in a low supply, high demand situation </w:t>
            </w:r>
          </w:p>
          <w:p w14:paraId="25359FE1" w14:textId="6FDD331D" w:rsidR="00952F3D" w:rsidRPr="0023426B" w:rsidRDefault="00952F3D" w:rsidP="00952F3D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  <w:u w:val="single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Lobby Government through all available networks and organisations to prioritise the supply of diesel for waste management services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433CE7" w14:textId="4C98A0A5" w:rsidR="00952F3D" w:rsidRDefault="00952F3D" w:rsidP="00952F3D">
            <w:pPr>
              <w:pStyle w:val="TableParagraph"/>
              <w:spacing w:line="191" w:lineRule="exact"/>
              <w:ind w:left="15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42C4E" w14:textId="4976FCBA" w:rsidR="00952F3D" w:rsidRDefault="00952F3D" w:rsidP="00952F3D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1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1CA483A1" w14:textId="0D1532FF" w:rsidR="00952F3D" w:rsidRDefault="00952F3D" w:rsidP="00952F3D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A826A" w14:textId="3701DE3E" w:rsidR="00952F3D" w:rsidRDefault="00952F3D" w:rsidP="00952F3D">
            <w:pPr>
              <w:pStyle w:val="TableParagraph"/>
              <w:spacing w:line="191" w:lineRule="exact"/>
              <w:ind w:left="28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Head of Service Delivery</w:t>
            </w:r>
          </w:p>
        </w:tc>
      </w:tr>
      <w:tr w:rsidR="00952F3D" w:rsidRPr="00F51434" w14:paraId="10FA574A" w14:textId="77777777" w:rsidTr="007B0C9F">
        <w:tc>
          <w:tcPr>
            <w:tcW w:w="276" w:type="dxa"/>
            <w:tcBorders>
              <w:right w:val="single" w:sz="6" w:space="0" w:color="000000"/>
            </w:tcBorders>
          </w:tcPr>
          <w:p w14:paraId="7B6B606C" w14:textId="77777777" w:rsidR="00952F3D" w:rsidRPr="00F51434" w:rsidDel="00B17706" w:rsidRDefault="00952F3D" w:rsidP="00952F3D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EF7C2" w14:textId="79734257" w:rsidR="00952F3D" w:rsidRPr="004D3E3B" w:rsidRDefault="00952F3D" w:rsidP="00952F3D">
            <w:pPr>
              <w:pStyle w:val="TableParagraph"/>
              <w:spacing w:line="264" w:lineRule="auto"/>
              <w:ind w:left="28" w:right="290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Significant diesel costs increase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75938" w14:textId="77777777" w:rsidR="00952F3D" w:rsidRDefault="00952F3D" w:rsidP="00952F3D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Increased running costs at Abbey Road</w:t>
            </w:r>
          </w:p>
          <w:p w14:paraId="1353B64E" w14:textId="579697D4" w:rsidR="00952F3D" w:rsidRDefault="00952F3D" w:rsidP="00952F3D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Increased costs of contracts involving a transport element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5863C" w14:textId="3D297778" w:rsidR="00952F3D" w:rsidRDefault="00952F3D" w:rsidP="00952F3D">
            <w:pPr>
              <w:pStyle w:val="TableParagraph"/>
              <w:spacing w:line="191" w:lineRule="exact"/>
              <w:ind w:left="28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Economic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B729A" w14:textId="55C508E7" w:rsidR="00952F3D" w:rsidRDefault="00952F3D" w:rsidP="00952F3D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870BC" w14:textId="436A7EC3" w:rsidR="00952F3D" w:rsidRDefault="00952F3D" w:rsidP="00952F3D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2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6839C0A0" w14:textId="463D39AD" w:rsidR="00952F3D" w:rsidRDefault="00952F3D" w:rsidP="00952F3D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8</w:t>
            </w:r>
          </w:p>
        </w:tc>
        <w:tc>
          <w:tcPr>
            <w:tcW w:w="7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0D2AC" w14:textId="77777777" w:rsidR="00952F3D" w:rsidRPr="00DA04EB" w:rsidRDefault="00952F3D" w:rsidP="00952F3D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  <w:u w:val="single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Budget for a high DERV index</w:t>
            </w:r>
          </w:p>
          <w:p w14:paraId="600B07FC" w14:textId="77777777" w:rsidR="00952F3D" w:rsidRPr="00D56722" w:rsidRDefault="00952F3D" w:rsidP="00952F3D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  <w:u w:val="single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Bring forward work on optimising whole system bulking and haulage arrangements</w:t>
            </w:r>
          </w:p>
          <w:p w14:paraId="0A9F9C49" w14:textId="3962F759" w:rsidR="00952F3D" w:rsidRPr="0023426B" w:rsidRDefault="00952F3D" w:rsidP="00952F3D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  <w:u w:val="single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Bring forward work on decarbonising Abbey Road operations (increase efficiency of operations and shift to low carbon fuels)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B4E0D" w14:textId="221FBF0F" w:rsidR="00952F3D" w:rsidRDefault="00952F3D" w:rsidP="00952F3D">
            <w:pPr>
              <w:pStyle w:val="TableParagraph"/>
              <w:spacing w:line="191" w:lineRule="exact"/>
              <w:ind w:left="15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DFEAD" w14:textId="1AC7B51A" w:rsidR="00952F3D" w:rsidRDefault="00952F3D" w:rsidP="00952F3D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2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2D8FDDEF" w14:textId="6BAB0815" w:rsidR="00952F3D" w:rsidRDefault="00952F3D" w:rsidP="00952F3D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1DE50" w14:textId="4DCA42D7" w:rsidR="00952F3D" w:rsidRDefault="00952F3D" w:rsidP="00952F3D">
            <w:pPr>
              <w:pStyle w:val="TableParagraph"/>
              <w:spacing w:line="191" w:lineRule="exact"/>
              <w:ind w:left="28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Head of Service Delivery</w:t>
            </w:r>
          </w:p>
        </w:tc>
      </w:tr>
      <w:tr w:rsidR="00952F3D" w:rsidRPr="00F51434" w14:paraId="433BDA6F" w14:textId="77777777" w:rsidTr="007B0C9F">
        <w:tc>
          <w:tcPr>
            <w:tcW w:w="276" w:type="dxa"/>
            <w:tcBorders>
              <w:right w:val="single" w:sz="6" w:space="0" w:color="000000"/>
            </w:tcBorders>
          </w:tcPr>
          <w:p w14:paraId="732D2B92" w14:textId="77777777" w:rsidR="00952F3D" w:rsidRPr="00F51434" w:rsidDel="00B17706" w:rsidRDefault="00952F3D" w:rsidP="00952F3D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D8078" w14:textId="5687465F" w:rsidR="00952F3D" w:rsidRDefault="00952F3D" w:rsidP="00952F3D">
            <w:pPr>
              <w:pStyle w:val="TableParagraph"/>
              <w:spacing w:line="264" w:lineRule="auto"/>
              <w:ind w:left="28" w:right="290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There is a shortage of drivers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71473" w14:textId="77777777" w:rsidR="00952F3D" w:rsidRDefault="00952F3D" w:rsidP="00952F3D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Reduction in collections of materials from Borough sites leading to accumulations</w:t>
            </w:r>
          </w:p>
          <w:p w14:paraId="00663BF6" w14:textId="72803183" w:rsidR="00952F3D" w:rsidRDefault="00952F3D" w:rsidP="00952F3D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Reduced capacity of Borough collections leading to accumulations of wastes at kerbside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700F7" w14:textId="472DE9D2" w:rsidR="00952F3D" w:rsidRDefault="00952F3D" w:rsidP="00952F3D">
            <w:pPr>
              <w:pStyle w:val="TableParagraph"/>
              <w:spacing w:line="191" w:lineRule="exact"/>
              <w:ind w:left="28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Environmental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8CF134" w14:textId="3F658C2E" w:rsidR="00952F3D" w:rsidRDefault="00C034B8" w:rsidP="00952F3D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0E284B" w14:textId="35BFA63D" w:rsidR="00952F3D" w:rsidRDefault="00C034B8" w:rsidP="00952F3D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3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vAlign w:val="center"/>
          </w:tcPr>
          <w:p w14:paraId="222C74E7" w14:textId="417A8586" w:rsidR="00952F3D" w:rsidRDefault="00C034B8" w:rsidP="00952F3D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15</w:t>
            </w:r>
          </w:p>
        </w:tc>
        <w:tc>
          <w:tcPr>
            <w:tcW w:w="7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94F7A" w14:textId="11490012" w:rsidR="00952F3D" w:rsidRDefault="00952F3D" w:rsidP="00952F3D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Regular dialogue with Boroughs and transport contractors to enable the quick identification and mitigation of issues</w:t>
            </w:r>
          </w:p>
          <w:p w14:paraId="149CCDEE" w14:textId="77777777" w:rsidR="00952F3D" w:rsidRDefault="00952F3D" w:rsidP="00952F3D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If probability is high, work with Borough Env Directors, other Boroughs and contractors to create a shared pool of drivers and make use of existing frameworks.</w:t>
            </w:r>
          </w:p>
          <w:p w14:paraId="1E8D897A" w14:textId="224524CD" w:rsidR="007B0C9F" w:rsidRDefault="007B0C9F" w:rsidP="00952F3D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Raise the issue to Government via NAWDO.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DFD2B4" w14:textId="3D1D4DED" w:rsidR="00952F3D" w:rsidRDefault="00C034B8" w:rsidP="00952F3D">
            <w:pPr>
              <w:pStyle w:val="TableParagraph"/>
              <w:spacing w:line="191" w:lineRule="exact"/>
              <w:ind w:left="15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324DF" w14:textId="284362DA" w:rsidR="00952F3D" w:rsidRDefault="00C034B8" w:rsidP="00952F3D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vAlign w:val="center"/>
          </w:tcPr>
          <w:p w14:paraId="64CA64EA" w14:textId="3C34124C" w:rsidR="00952F3D" w:rsidRDefault="00C034B8" w:rsidP="00952F3D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E400C" w14:textId="0B2E9C4F" w:rsidR="00952F3D" w:rsidRDefault="00C034B8" w:rsidP="00952F3D">
            <w:pPr>
              <w:pStyle w:val="TableParagraph"/>
              <w:spacing w:line="191" w:lineRule="exact"/>
              <w:ind w:left="28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Head of Service Delivery</w:t>
            </w:r>
          </w:p>
        </w:tc>
      </w:tr>
      <w:tr w:rsidR="00952F3D" w:rsidRPr="00F51434" w14:paraId="76A064E6" w14:textId="77777777" w:rsidTr="007B0C9F">
        <w:tc>
          <w:tcPr>
            <w:tcW w:w="276" w:type="dxa"/>
            <w:tcBorders>
              <w:right w:val="single" w:sz="6" w:space="0" w:color="000000"/>
            </w:tcBorders>
          </w:tcPr>
          <w:p w14:paraId="06D7E3A9" w14:textId="77777777" w:rsidR="00952F3D" w:rsidRPr="00F51434" w:rsidDel="00B17706" w:rsidRDefault="00952F3D" w:rsidP="00952F3D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58E6E" w14:textId="7CC4DF7D" w:rsidR="00952F3D" w:rsidRDefault="00952F3D" w:rsidP="00952F3D">
            <w:pPr>
              <w:pStyle w:val="TableParagraph"/>
              <w:spacing w:line="264" w:lineRule="auto"/>
              <w:ind w:left="28" w:right="290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Reduced availability of key components for repairing and maintaining treatment facilities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5E91A" w14:textId="721E32A9" w:rsidR="00952F3D" w:rsidRDefault="00952F3D" w:rsidP="00952F3D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Increased periods of outage for key facilities leading to increased reliance on contingency facilities. Could potentially result in more transport, less recycling and more landfill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C6DCD" w14:textId="6FCB0094" w:rsidR="00952F3D" w:rsidRDefault="00952F3D" w:rsidP="00952F3D">
            <w:pPr>
              <w:pStyle w:val="TableParagraph"/>
              <w:spacing w:line="191" w:lineRule="exact"/>
              <w:ind w:left="28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Environmental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D25C4" w14:textId="72CF9570" w:rsidR="00952F3D" w:rsidRDefault="00952F3D" w:rsidP="00952F3D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EB74E" w14:textId="0FE6E4A0" w:rsidR="00952F3D" w:rsidRDefault="00952F3D" w:rsidP="00952F3D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2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39FB02C7" w14:textId="20A4D237" w:rsidR="00952F3D" w:rsidRDefault="00952F3D" w:rsidP="00952F3D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8</w:t>
            </w:r>
          </w:p>
        </w:tc>
        <w:tc>
          <w:tcPr>
            <w:tcW w:w="7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3D0B9" w14:textId="77777777" w:rsidR="00952F3D" w:rsidRDefault="00952F3D" w:rsidP="00952F3D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Use contract mechanisms to prevent pass-through of financial risk to WLWA</w:t>
            </w:r>
          </w:p>
          <w:p w14:paraId="614CBCB6" w14:textId="77777777" w:rsidR="00952F3D" w:rsidRDefault="00952F3D" w:rsidP="00952F3D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Ensure contractors</w:t>
            </w: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’</w:t>
            </w: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 xml:space="preserve"> contingency plans are up to date  </w:t>
            </w:r>
          </w:p>
          <w:p w14:paraId="3E469795" w14:textId="77777777" w:rsidR="00952F3D" w:rsidRDefault="00952F3D" w:rsidP="00952F3D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Lobby Government through all available networks and organisations to prioritise the supply of parts for waste management services</w:t>
            </w:r>
          </w:p>
          <w:p w14:paraId="6DA66528" w14:textId="41C9735B" w:rsidR="00952F3D" w:rsidRDefault="00952F3D" w:rsidP="00952F3D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Keep waste flow profiles under review and be ready to adapt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399B5" w14:textId="04C9D4F7" w:rsidR="00952F3D" w:rsidRDefault="00952F3D" w:rsidP="00952F3D">
            <w:pPr>
              <w:pStyle w:val="TableParagraph"/>
              <w:spacing w:line="191" w:lineRule="exact"/>
              <w:ind w:left="15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C7712" w14:textId="4DFBBBBB" w:rsidR="00952F3D" w:rsidRDefault="00952F3D" w:rsidP="00952F3D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2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15609780" w14:textId="4D5DD105" w:rsidR="00952F3D" w:rsidRDefault="00952F3D" w:rsidP="00952F3D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0D88D" w14:textId="06FB269E" w:rsidR="00952F3D" w:rsidRDefault="00952F3D" w:rsidP="00952F3D">
            <w:pPr>
              <w:pStyle w:val="TableParagraph"/>
              <w:spacing w:line="191" w:lineRule="exact"/>
              <w:ind w:left="28"/>
              <w:jc w:val="center"/>
              <w:rPr>
                <w:rFonts w:ascii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  <w:lang w:val="en-GB"/>
              </w:rPr>
              <w:t>Operations Manager</w:t>
            </w:r>
          </w:p>
        </w:tc>
      </w:tr>
    </w:tbl>
    <w:p w14:paraId="31C0F711" w14:textId="77777777" w:rsidR="00E345BB" w:rsidRPr="00F51434" w:rsidRDefault="00E345BB" w:rsidP="005F6572">
      <w:pPr>
        <w:pStyle w:val="Heading1"/>
      </w:pPr>
    </w:p>
    <w:p w14:paraId="7733EC82" w14:textId="7A381226" w:rsidR="002E4312" w:rsidRPr="00F51434" w:rsidRDefault="002E4312" w:rsidP="0042160D">
      <w:pPr>
        <w:pStyle w:val="Heading1"/>
        <w:keepNext/>
        <w:ind w:right="164"/>
      </w:pPr>
      <w:r w:rsidRPr="00F51434">
        <w:t>Risk</w:t>
      </w:r>
      <w:r w:rsidR="00AA17AE" w:rsidRPr="00F51434">
        <w:t>/ Impact</w:t>
      </w:r>
      <w:r w:rsidRPr="00F51434">
        <w:t xml:space="preserve"> Rating</w:t>
      </w:r>
    </w:p>
    <w:tbl>
      <w:tblPr>
        <w:tblW w:w="5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70"/>
        <w:gridCol w:w="1545"/>
        <w:gridCol w:w="2830"/>
        <w:gridCol w:w="1697"/>
        <w:gridCol w:w="4823"/>
        <w:gridCol w:w="6099"/>
        <w:gridCol w:w="4527"/>
      </w:tblGrid>
      <w:tr w:rsidR="005F6572" w:rsidRPr="00F51434" w14:paraId="5AA48006" w14:textId="77777777" w:rsidTr="005A3437">
        <w:tc>
          <w:tcPr>
            <w:tcW w:w="194" w:type="pct"/>
          </w:tcPr>
          <w:p w14:paraId="5D674CA1" w14:textId="088C42D9" w:rsidR="002E4312" w:rsidRPr="00F51434" w:rsidRDefault="005F6572" w:rsidP="005A3437">
            <w:pPr>
              <w:rPr>
                <w:rFonts w:ascii="Arial" w:hAnsi="Arial" w:cs="Arial"/>
                <w:b/>
                <w:sz w:val="20"/>
              </w:rPr>
            </w:pPr>
            <w:r w:rsidRPr="00F51434">
              <w:rPr>
                <w:rFonts w:ascii="Arial" w:hAnsi="Arial" w:cs="Arial"/>
                <w:b/>
                <w:sz w:val="20"/>
              </w:rPr>
              <w:t>Rating</w:t>
            </w:r>
          </w:p>
        </w:tc>
        <w:tc>
          <w:tcPr>
            <w:tcW w:w="345" w:type="pct"/>
          </w:tcPr>
          <w:p w14:paraId="582F5509" w14:textId="44D8AA83" w:rsidR="002E4312" w:rsidRPr="00F51434" w:rsidRDefault="005F6572" w:rsidP="005A3437">
            <w:pPr>
              <w:rPr>
                <w:rFonts w:ascii="Arial" w:hAnsi="Arial" w:cs="Arial"/>
                <w:b/>
                <w:sz w:val="20"/>
              </w:rPr>
            </w:pPr>
            <w:r w:rsidRPr="00F51434">
              <w:rPr>
                <w:rFonts w:ascii="Arial" w:hAnsi="Arial" w:cs="Arial"/>
                <w:b/>
                <w:sz w:val="20"/>
              </w:rPr>
              <w:t>Status</w:t>
            </w:r>
          </w:p>
        </w:tc>
        <w:tc>
          <w:tcPr>
            <w:tcW w:w="632" w:type="pct"/>
          </w:tcPr>
          <w:p w14:paraId="5EF39F18" w14:textId="34EBE14F" w:rsidR="002E4312" w:rsidRPr="00F51434" w:rsidRDefault="002E4312" w:rsidP="005A3437">
            <w:pPr>
              <w:rPr>
                <w:rFonts w:ascii="Arial" w:hAnsi="Arial" w:cs="Arial"/>
                <w:b/>
                <w:sz w:val="20"/>
              </w:rPr>
            </w:pPr>
            <w:r w:rsidRPr="00F51434">
              <w:rPr>
                <w:rFonts w:ascii="Arial" w:hAnsi="Arial" w:cs="Arial"/>
                <w:b/>
                <w:sz w:val="20"/>
              </w:rPr>
              <w:t>Service disruption</w:t>
            </w:r>
          </w:p>
        </w:tc>
        <w:tc>
          <w:tcPr>
            <w:tcW w:w="379" w:type="pct"/>
          </w:tcPr>
          <w:p w14:paraId="432B4E0F" w14:textId="76992044" w:rsidR="002E4312" w:rsidRPr="00F51434" w:rsidRDefault="002E4312" w:rsidP="005A3437">
            <w:pPr>
              <w:rPr>
                <w:rFonts w:ascii="Arial" w:hAnsi="Arial" w:cs="Arial"/>
                <w:b/>
                <w:sz w:val="20"/>
              </w:rPr>
            </w:pPr>
            <w:r w:rsidRPr="00F51434">
              <w:rPr>
                <w:rFonts w:ascii="Arial" w:hAnsi="Arial" w:cs="Arial"/>
                <w:b/>
                <w:sz w:val="20"/>
              </w:rPr>
              <w:t>Financial Loss</w:t>
            </w:r>
          </w:p>
        </w:tc>
        <w:tc>
          <w:tcPr>
            <w:tcW w:w="1077" w:type="pct"/>
          </w:tcPr>
          <w:p w14:paraId="6F5E7654" w14:textId="77777777" w:rsidR="002E4312" w:rsidRPr="00F51434" w:rsidRDefault="002E4312" w:rsidP="005A3437">
            <w:pPr>
              <w:rPr>
                <w:rFonts w:ascii="Arial" w:hAnsi="Arial" w:cs="Arial"/>
                <w:b/>
                <w:sz w:val="20"/>
              </w:rPr>
            </w:pPr>
            <w:r w:rsidRPr="00F51434">
              <w:rPr>
                <w:rFonts w:ascii="Arial" w:hAnsi="Arial" w:cs="Arial"/>
                <w:b/>
                <w:sz w:val="20"/>
              </w:rPr>
              <w:t>Reputation</w:t>
            </w:r>
          </w:p>
        </w:tc>
        <w:tc>
          <w:tcPr>
            <w:tcW w:w="1362" w:type="pct"/>
          </w:tcPr>
          <w:p w14:paraId="31FAAB1B" w14:textId="77A4FAF8" w:rsidR="002E4312" w:rsidRPr="00F51434" w:rsidRDefault="002E4312" w:rsidP="005A3437">
            <w:pPr>
              <w:rPr>
                <w:rFonts w:ascii="Arial" w:hAnsi="Arial" w:cs="Arial"/>
                <w:b/>
                <w:sz w:val="20"/>
              </w:rPr>
            </w:pPr>
            <w:r w:rsidRPr="00F51434">
              <w:rPr>
                <w:rFonts w:ascii="Arial" w:hAnsi="Arial" w:cs="Arial"/>
                <w:b/>
                <w:sz w:val="20"/>
              </w:rPr>
              <w:t>Failure to provide statutory service / meet legal obligations</w:t>
            </w:r>
          </w:p>
        </w:tc>
        <w:tc>
          <w:tcPr>
            <w:tcW w:w="1011" w:type="pct"/>
          </w:tcPr>
          <w:p w14:paraId="788304F2" w14:textId="77777777" w:rsidR="002E4312" w:rsidRPr="00F51434" w:rsidRDefault="002E4312" w:rsidP="005A3437">
            <w:pPr>
              <w:rPr>
                <w:rFonts w:ascii="Arial" w:hAnsi="Arial" w:cs="Arial"/>
                <w:b/>
                <w:sz w:val="20"/>
              </w:rPr>
            </w:pPr>
            <w:r w:rsidRPr="00F51434">
              <w:rPr>
                <w:rFonts w:ascii="Arial" w:hAnsi="Arial" w:cs="Arial"/>
                <w:b/>
                <w:sz w:val="20"/>
              </w:rPr>
              <w:t>People</w:t>
            </w:r>
          </w:p>
        </w:tc>
      </w:tr>
      <w:tr w:rsidR="005F6572" w:rsidRPr="00F51434" w14:paraId="348CB488" w14:textId="77777777" w:rsidTr="005A3437">
        <w:tc>
          <w:tcPr>
            <w:tcW w:w="194" w:type="pct"/>
          </w:tcPr>
          <w:p w14:paraId="36670365" w14:textId="4EAFF8FD" w:rsidR="002E4312" w:rsidRPr="00F51434" w:rsidRDefault="002E4312" w:rsidP="005A34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51434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45" w:type="pct"/>
          </w:tcPr>
          <w:p w14:paraId="7AA56836" w14:textId="5A053009" w:rsidR="002E4312" w:rsidRPr="00F51434" w:rsidRDefault="002E4312" w:rsidP="005A3437">
            <w:pPr>
              <w:rPr>
                <w:rFonts w:ascii="Arial" w:hAnsi="Arial" w:cs="Arial"/>
                <w:sz w:val="20"/>
              </w:rPr>
            </w:pPr>
            <w:r w:rsidRPr="00F51434">
              <w:rPr>
                <w:rFonts w:ascii="Arial" w:hAnsi="Arial" w:cs="Arial"/>
                <w:sz w:val="20"/>
              </w:rPr>
              <w:t>Extreme</w:t>
            </w:r>
          </w:p>
        </w:tc>
        <w:tc>
          <w:tcPr>
            <w:tcW w:w="632" w:type="pct"/>
          </w:tcPr>
          <w:p w14:paraId="28FA157B" w14:textId="58E23F5B" w:rsidR="002E4312" w:rsidRPr="00F51434" w:rsidRDefault="002E4312" w:rsidP="005A3437">
            <w:pPr>
              <w:rPr>
                <w:rFonts w:ascii="Arial" w:hAnsi="Arial" w:cs="Arial"/>
                <w:sz w:val="20"/>
              </w:rPr>
            </w:pPr>
            <w:r w:rsidRPr="00F51434">
              <w:rPr>
                <w:rFonts w:ascii="Arial" w:hAnsi="Arial" w:cs="Arial"/>
                <w:sz w:val="20"/>
              </w:rPr>
              <w:t>Total failure or service</w:t>
            </w:r>
          </w:p>
        </w:tc>
        <w:tc>
          <w:tcPr>
            <w:tcW w:w="379" w:type="pct"/>
          </w:tcPr>
          <w:p w14:paraId="1D16D6B8" w14:textId="7F2AB2F5" w:rsidR="002E4312" w:rsidRPr="00F51434" w:rsidRDefault="002E4312" w:rsidP="005A3437">
            <w:pPr>
              <w:rPr>
                <w:rFonts w:ascii="Arial" w:hAnsi="Arial" w:cs="Arial"/>
                <w:sz w:val="20"/>
              </w:rPr>
            </w:pPr>
            <w:r w:rsidRPr="00F51434">
              <w:rPr>
                <w:rFonts w:ascii="Arial" w:hAnsi="Arial" w:cs="Arial"/>
                <w:sz w:val="20"/>
              </w:rPr>
              <w:t>Over £5m</w:t>
            </w:r>
          </w:p>
        </w:tc>
        <w:tc>
          <w:tcPr>
            <w:tcW w:w="1077" w:type="pct"/>
          </w:tcPr>
          <w:p w14:paraId="512A0287" w14:textId="7AD22478" w:rsidR="002E4312" w:rsidRPr="00F51434" w:rsidRDefault="002E4312" w:rsidP="005A3437">
            <w:pPr>
              <w:rPr>
                <w:rFonts w:ascii="Arial" w:hAnsi="Arial" w:cs="Arial"/>
                <w:sz w:val="20"/>
              </w:rPr>
            </w:pPr>
            <w:r w:rsidRPr="00F51434">
              <w:rPr>
                <w:rFonts w:ascii="Arial" w:hAnsi="Arial" w:cs="Arial"/>
                <w:sz w:val="20"/>
              </w:rPr>
              <w:t>National publicity &gt; than 3</w:t>
            </w:r>
            <w:r w:rsidR="00367A84" w:rsidRPr="00F51434">
              <w:rPr>
                <w:rFonts w:ascii="Arial" w:hAnsi="Arial" w:cs="Arial"/>
                <w:sz w:val="20"/>
              </w:rPr>
              <w:t xml:space="preserve"> </w:t>
            </w:r>
            <w:r w:rsidRPr="00F51434">
              <w:rPr>
                <w:rFonts w:ascii="Arial" w:hAnsi="Arial" w:cs="Arial"/>
                <w:sz w:val="20"/>
              </w:rPr>
              <w:t>days Resignation o</w:t>
            </w:r>
            <w:r w:rsidR="00367A84" w:rsidRPr="00F51434">
              <w:rPr>
                <w:rFonts w:ascii="Arial" w:hAnsi="Arial" w:cs="Arial"/>
                <w:sz w:val="20"/>
              </w:rPr>
              <w:t>f leading</w:t>
            </w:r>
            <w:r w:rsidRPr="00F51434">
              <w:rPr>
                <w:rFonts w:ascii="Arial" w:hAnsi="Arial" w:cs="Arial"/>
                <w:sz w:val="20"/>
              </w:rPr>
              <w:t xml:space="preserve"> member or chief </w:t>
            </w:r>
            <w:r w:rsidR="00367A84" w:rsidRPr="00F51434">
              <w:rPr>
                <w:rFonts w:ascii="Arial" w:hAnsi="Arial" w:cs="Arial"/>
                <w:sz w:val="20"/>
              </w:rPr>
              <w:t>officer</w:t>
            </w:r>
          </w:p>
        </w:tc>
        <w:tc>
          <w:tcPr>
            <w:tcW w:w="1362" w:type="pct"/>
          </w:tcPr>
          <w:p w14:paraId="1C0AB57B" w14:textId="7EC13F81" w:rsidR="002E4312" w:rsidRPr="00F51434" w:rsidRDefault="002E4312" w:rsidP="005A3437">
            <w:pPr>
              <w:rPr>
                <w:rFonts w:ascii="Arial" w:hAnsi="Arial" w:cs="Arial"/>
                <w:sz w:val="20"/>
              </w:rPr>
            </w:pPr>
            <w:r w:rsidRPr="00F51434">
              <w:rPr>
                <w:rFonts w:ascii="Arial" w:hAnsi="Arial" w:cs="Arial"/>
                <w:sz w:val="20"/>
              </w:rPr>
              <w:t xml:space="preserve">Multiple civil or </w:t>
            </w:r>
            <w:r w:rsidR="00367A84" w:rsidRPr="00F51434">
              <w:rPr>
                <w:rFonts w:ascii="Arial" w:hAnsi="Arial" w:cs="Arial"/>
                <w:sz w:val="20"/>
              </w:rPr>
              <w:t>criminal suits. Litigation, claim or fine of above £5m</w:t>
            </w:r>
          </w:p>
        </w:tc>
        <w:tc>
          <w:tcPr>
            <w:tcW w:w="1011" w:type="pct"/>
          </w:tcPr>
          <w:p w14:paraId="61E0F48A" w14:textId="6407F5DA" w:rsidR="002E4312" w:rsidRPr="00F51434" w:rsidRDefault="002E4312" w:rsidP="005A3437">
            <w:pPr>
              <w:rPr>
                <w:rFonts w:ascii="Arial" w:hAnsi="Arial" w:cs="Arial"/>
                <w:sz w:val="20"/>
              </w:rPr>
            </w:pPr>
            <w:r w:rsidRPr="00F51434">
              <w:rPr>
                <w:rFonts w:ascii="Arial" w:hAnsi="Arial" w:cs="Arial"/>
                <w:sz w:val="20"/>
              </w:rPr>
              <w:t xml:space="preserve">Fatality or one or more </w:t>
            </w:r>
            <w:r w:rsidR="00367A84" w:rsidRPr="00F51434">
              <w:rPr>
                <w:rFonts w:ascii="Arial" w:hAnsi="Arial" w:cs="Arial"/>
                <w:sz w:val="20"/>
              </w:rPr>
              <w:t>clients/staff</w:t>
            </w:r>
          </w:p>
        </w:tc>
      </w:tr>
      <w:tr w:rsidR="005F6572" w:rsidRPr="00F51434" w14:paraId="1AA80AD3" w14:textId="77777777" w:rsidTr="005A3437">
        <w:tc>
          <w:tcPr>
            <w:tcW w:w="194" w:type="pct"/>
          </w:tcPr>
          <w:p w14:paraId="14FD6272" w14:textId="77777777" w:rsidR="002E4312" w:rsidRPr="00F51434" w:rsidRDefault="002E4312" w:rsidP="005A34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51434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45" w:type="pct"/>
          </w:tcPr>
          <w:p w14:paraId="1A21E7F4" w14:textId="1D277A55" w:rsidR="002E4312" w:rsidRPr="00F51434" w:rsidRDefault="002E4312" w:rsidP="005A3437">
            <w:pPr>
              <w:rPr>
                <w:rFonts w:ascii="Arial" w:hAnsi="Arial" w:cs="Arial"/>
                <w:sz w:val="20"/>
              </w:rPr>
            </w:pPr>
            <w:r w:rsidRPr="00F51434">
              <w:rPr>
                <w:rFonts w:ascii="Arial" w:hAnsi="Arial" w:cs="Arial"/>
                <w:sz w:val="20"/>
              </w:rPr>
              <w:t>Very high</w:t>
            </w:r>
          </w:p>
        </w:tc>
        <w:tc>
          <w:tcPr>
            <w:tcW w:w="632" w:type="pct"/>
          </w:tcPr>
          <w:p w14:paraId="0CEB0042" w14:textId="758FDD90" w:rsidR="002E4312" w:rsidRPr="00F51434" w:rsidRDefault="002E4312" w:rsidP="005A3437">
            <w:pPr>
              <w:rPr>
                <w:rFonts w:ascii="Arial" w:hAnsi="Arial" w:cs="Arial"/>
                <w:sz w:val="20"/>
              </w:rPr>
            </w:pPr>
            <w:r w:rsidRPr="00F51434">
              <w:rPr>
                <w:rFonts w:ascii="Arial" w:hAnsi="Arial" w:cs="Arial"/>
                <w:sz w:val="20"/>
              </w:rPr>
              <w:t>Serious disruption to service</w:t>
            </w:r>
          </w:p>
        </w:tc>
        <w:tc>
          <w:tcPr>
            <w:tcW w:w="379" w:type="pct"/>
          </w:tcPr>
          <w:p w14:paraId="2E75AB16" w14:textId="77777777" w:rsidR="002E4312" w:rsidRPr="00F51434" w:rsidRDefault="002E4312" w:rsidP="005A3437">
            <w:pPr>
              <w:rPr>
                <w:rFonts w:ascii="Arial" w:hAnsi="Arial" w:cs="Arial"/>
                <w:sz w:val="20"/>
              </w:rPr>
            </w:pPr>
            <w:r w:rsidRPr="00F51434">
              <w:rPr>
                <w:rFonts w:ascii="Arial" w:hAnsi="Arial" w:cs="Arial"/>
                <w:sz w:val="20"/>
              </w:rPr>
              <w:t>£500k-£5m</w:t>
            </w:r>
          </w:p>
        </w:tc>
        <w:tc>
          <w:tcPr>
            <w:tcW w:w="1077" w:type="pct"/>
          </w:tcPr>
          <w:p w14:paraId="40957A4E" w14:textId="457B3CCC" w:rsidR="002E4312" w:rsidRPr="00F51434" w:rsidRDefault="00216D9E" w:rsidP="005A3437">
            <w:pPr>
              <w:rPr>
                <w:rFonts w:ascii="Arial" w:hAnsi="Arial" w:cs="Arial"/>
                <w:sz w:val="20"/>
              </w:rPr>
            </w:pPr>
            <w:r w:rsidRPr="00F51434">
              <w:rPr>
                <w:rFonts w:ascii="Arial" w:hAnsi="Arial" w:cs="Arial"/>
                <w:sz w:val="20"/>
              </w:rPr>
              <w:t>Nation</w:t>
            </w:r>
            <w:r w:rsidR="002E4312" w:rsidRPr="00F51434">
              <w:rPr>
                <w:rFonts w:ascii="Arial" w:hAnsi="Arial" w:cs="Arial"/>
                <w:sz w:val="20"/>
              </w:rPr>
              <w:t>al public or press</w:t>
            </w:r>
            <w:r w:rsidR="00367A84" w:rsidRPr="00F51434">
              <w:rPr>
                <w:rFonts w:ascii="Arial" w:hAnsi="Arial" w:cs="Arial"/>
                <w:sz w:val="20"/>
              </w:rPr>
              <w:t xml:space="preserve"> </w:t>
            </w:r>
            <w:r w:rsidR="002E4312" w:rsidRPr="00F51434">
              <w:rPr>
                <w:rFonts w:ascii="Arial" w:hAnsi="Arial" w:cs="Arial"/>
                <w:sz w:val="20"/>
              </w:rPr>
              <w:t>interest</w:t>
            </w:r>
          </w:p>
        </w:tc>
        <w:tc>
          <w:tcPr>
            <w:tcW w:w="1362" w:type="pct"/>
          </w:tcPr>
          <w:p w14:paraId="2F63EAF3" w14:textId="619E4491" w:rsidR="002E4312" w:rsidRPr="00F51434" w:rsidRDefault="00367A84" w:rsidP="005A3437">
            <w:pPr>
              <w:rPr>
                <w:rFonts w:ascii="Arial" w:hAnsi="Arial" w:cs="Arial"/>
                <w:sz w:val="20"/>
              </w:rPr>
            </w:pPr>
            <w:r w:rsidRPr="00F51434">
              <w:rPr>
                <w:rFonts w:ascii="Arial" w:hAnsi="Arial" w:cs="Arial"/>
                <w:sz w:val="20"/>
              </w:rPr>
              <w:t>Litigation</w:t>
            </w:r>
            <w:r w:rsidR="002E4312" w:rsidRPr="00F51434">
              <w:rPr>
                <w:rFonts w:ascii="Arial" w:hAnsi="Arial" w:cs="Arial"/>
                <w:sz w:val="20"/>
              </w:rPr>
              <w:t xml:space="preserve"> claim or </w:t>
            </w:r>
            <w:r w:rsidRPr="00F51434">
              <w:rPr>
                <w:rFonts w:ascii="Arial" w:hAnsi="Arial" w:cs="Arial"/>
                <w:sz w:val="20"/>
              </w:rPr>
              <w:t xml:space="preserve">fine </w:t>
            </w:r>
            <w:r w:rsidR="002E4312" w:rsidRPr="00F51434">
              <w:rPr>
                <w:rFonts w:ascii="Arial" w:hAnsi="Arial" w:cs="Arial"/>
                <w:sz w:val="20"/>
              </w:rPr>
              <w:t>£500k-£5m</w:t>
            </w:r>
          </w:p>
        </w:tc>
        <w:tc>
          <w:tcPr>
            <w:tcW w:w="1011" w:type="pct"/>
          </w:tcPr>
          <w:p w14:paraId="486A82C9" w14:textId="77777777" w:rsidR="00367A84" w:rsidRPr="00F51434" w:rsidRDefault="00367A84" w:rsidP="005A3437">
            <w:pPr>
              <w:rPr>
                <w:rFonts w:ascii="Arial" w:hAnsi="Arial" w:cs="Arial"/>
                <w:sz w:val="20"/>
              </w:rPr>
            </w:pPr>
            <w:r w:rsidRPr="00F51434">
              <w:rPr>
                <w:rFonts w:ascii="Arial" w:hAnsi="Arial" w:cs="Arial"/>
                <w:sz w:val="20"/>
              </w:rPr>
              <w:t>Serious injury.</w:t>
            </w:r>
          </w:p>
          <w:p w14:paraId="5A2A0B3E" w14:textId="60AC2DEB" w:rsidR="00367A84" w:rsidRPr="00F51434" w:rsidRDefault="00367A84" w:rsidP="005A3437">
            <w:pPr>
              <w:rPr>
                <w:rFonts w:ascii="Arial" w:hAnsi="Arial" w:cs="Arial"/>
                <w:sz w:val="20"/>
              </w:rPr>
            </w:pPr>
            <w:r w:rsidRPr="00F51434">
              <w:rPr>
                <w:rFonts w:ascii="Arial" w:hAnsi="Arial" w:cs="Arial"/>
                <w:sz w:val="20"/>
              </w:rPr>
              <w:t>Permanent disablement of one or more clients / staff</w:t>
            </w:r>
          </w:p>
        </w:tc>
      </w:tr>
      <w:tr w:rsidR="005F6572" w:rsidRPr="00F51434" w14:paraId="753683C6" w14:textId="77777777" w:rsidTr="005A3437">
        <w:tc>
          <w:tcPr>
            <w:tcW w:w="194" w:type="pct"/>
          </w:tcPr>
          <w:p w14:paraId="4A7A2D07" w14:textId="77777777" w:rsidR="002E4312" w:rsidRPr="00F51434" w:rsidRDefault="002E4312" w:rsidP="005A34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51434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45" w:type="pct"/>
          </w:tcPr>
          <w:p w14:paraId="7A1B971C" w14:textId="0E8CDC5C" w:rsidR="002E4312" w:rsidRPr="00F51434" w:rsidRDefault="002E4312" w:rsidP="005A3437">
            <w:pPr>
              <w:rPr>
                <w:rFonts w:ascii="Arial" w:hAnsi="Arial" w:cs="Arial"/>
                <w:sz w:val="20"/>
              </w:rPr>
            </w:pPr>
            <w:r w:rsidRPr="00F51434">
              <w:rPr>
                <w:rFonts w:ascii="Arial" w:hAnsi="Arial" w:cs="Arial"/>
                <w:sz w:val="20"/>
              </w:rPr>
              <w:t>Medium</w:t>
            </w:r>
          </w:p>
        </w:tc>
        <w:tc>
          <w:tcPr>
            <w:tcW w:w="632" w:type="pct"/>
          </w:tcPr>
          <w:p w14:paraId="4C1E49F2" w14:textId="0FBFCEFB" w:rsidR="002E4312" w:rsidRPr="00F51434" w:rsidRDefault="002E4312" w:rsidP="005A3437">
            <w:pPr>
              <w:rPr>
                <w:rFonts w:ascii="Arial" w:hAnsi="Arial" w:cs="Arial"/>
                <w:sz w:val="20"/>
              </w:rPr>
            </w:pPr>
            <w:r w:rsidRPr="00F51434">
              <w:rPr>
                <w:rFonts w:ascii="Arial" w:hAnsi="Arial" w:cs="Arial"/>
                <w:sz w:val="20"/>
              </w:rPr>
              <w:t>Disruption to service</w:t>
            </w:r>
          </w:p>
        </w:tc>
        <w:tc>
          <w:tcPr>
            <w:tcW w:w="379" w:type="pct"/>
          </w:tcPr>
          <w:p w14:paraId="4107B20A" w14:textId="77777777" w:rsidR="002E4312" w:rsidRPr="00F51434" w:rsidRDefault="002E4312" w:rsidP="005A3437">
            <w:pPr>
              <w:rPr>
                <w:rFonts w:ascii="Arial" w:hAnsi="Arial" w:cs="Arial"/>
                <w:sz w:val="20"/>
              </w:rPr>
            </w:pPr>
            <w:r w:rsidRPr="00F51434">
              <w:rPr>
                <w:rFonts w:ascii="Arial" w:hAnsi="Arial" w:cs="Arial"/>
                <w:sz w:val="20"/>
              </w:rPr>
              <w:t>£50k-£500k</w:t>
            </w:r>
          </w:p>
        </w:tc>
        <w:tc>
          <w:tcPr>
            <w:tcW w:w="1077" w:type="pct"/>
          </w:tcPr>
          <w:p w14:paraId="5F45FD67" w14:textId="6D6194CD" w:rsidR="002E4312" w:rsidRPr="00F51434" w:rsidRDefault="002E4312" w:rsidP="005A3437">
            <w:pPr>
              <w:rPr>
                <w:rFonts w:ascii="Arial" w:hAnsi="Arial" w:cs="Arial"/>
                <w:sz w:val="20"/>
              </w:rPr>
            </w:pPr>
            <w:r w:rsidRPr="00F51434">
              <w:rPr>
                <w:rFonts w:ascii="Arial" w:hAnsi="Arial" w:cs="Arial"/>
                <w:sz w:val="20"/>
              </w:rPr>
              <w:t>Local</w:t>
            </w:r>
            <w:r w:rsidR="00367A84" w:rsidRPr="00F51434">
              <w:rPr>
                <w:rFonts w:ascii="Arial" w:hAnsi="Arial" w:cs="Arial"/>
                <w:sz w:val="20"/>
              </w:rPr>
              <w:t xml:space="preserve"> public /press interest</w:t>
            </w:r>
          </w:p>
        </w:tc>
        <w:tc>
          <w:tcPr>
            <w:tcW w:w="1362" w:type="pct"/>
          </w:tcPr>
          <w:p w14:paraId="645D1ABB" w14:textId="584D7B69" w:rsidR="002E4312" w:rsidRPr="00F51434" w:rsidRDefault="00367A84" w:rsidP="005A3437">
            <w:pPr>
              <w:rPr>
                <w:rFonts w:ascii="Arial" w:hAnsi="Arial" w:cs="Arial"/>
                <w:sz w:val="20"/>
              </w:rPr>
            </w:pPr>
            <w:r w:rsidRPr="00F51434">
              <w:rPr>
                <w:rFonts w:ascii="Arial" w:hAnsi="Arial" w:cs="Arial"/>
                <w:sz w:val="20"/>
              </w:rPr>
              <w:t xml:space="preserve">Litigation claim or fine </w:t>
            </w:r>
            <w:r w:rsidR="002E4312" w:rsidRPr="00F51434">
              <w:rPr>
                <w:rFonts w:ascii="Arial" w:hAnsi="Arial" w:cs="Arial"/>
                <w:sz w:val="20"/>
              </w:rPr>
              <w:t>£50k-£500k</w:t>
            </w:r>
          </w:p>
        </w:tc>
        <w:tc>
          <w:tcPr>
            <w:tcW w:w="1011" w:type="pct"/>
          </w:tcPr>
          <w:p w14:paraId="62D7748A" w14:textId="70A52A61" w:rsidR="002E4312" w:rsidRPr="00F51434" w:rsidRDefault="00367A84" w:rsidP="005A3437">
            <w:pPr>
              <w:rPr>
                <w:rFonts w:ascii="Arial" w:hAnsi="Arial" w:cs="Arial"/>
                <w:sz w:val="20"/>
              </w:rPr>
            </w:pPr>
            <w:r w:rsidRPr="00F51434">
              <w:rPr>
                <w:rFonts w:ascii="Arial" w:hAnsi="Arial" w:cs="Arial"/>
                <w:sz w:val="20"/>
              </w:rPr>
              <w:t>Major injuries to individual</w:t>
            </w:r>
          </w:p>
        </w:tc>
      </w:tr>
      <w:tr w:rsidR="005F6572" w:rsidRPr="00F51434" w14:paraId="0342A556" w14:textId="77777777" w:rsidTr="005A3437">
        <w:tc>
          <w:tcPr>
            <w:tcW w:w="194" w:type="pct"/>
          </w:tcPr>
          <w:p w14:paraId="24C7E2A1" w14:textId="77777777" w:rsidR="002E4312" w:rsidRPr="00F51434" w:rsidRDefault="002E4312" w:rsidP="005A34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51434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45" w:type="pct"/>
          </w:tcPr>
          <w:p w14:paraId="2BB8EB55" w14:textId="4CEE61DB" w:rsidR="002E4312" w:rsidRPr="00F51434" w:rsidRDefault="002E4312" w:rsidP="005A3437">
            <w:pPr>
              <w:rPr>
                <w:rFonts w:ascii="Arial" w:hAnsi="Arial" w:cs="Arial"/>
                <w:sz w:val="20"/>
              </w:rPr>
            </w:pPr>
            <w:r w:rsidRPr="00F51434">
              <w:rPr>
                <w:rFonts w:ascii="Arial" w:hAnsi="Arial" w:cs="Arial"/>
                <w:sz w:val="20"/>
              </w:rPr>
              <w:t>Low</w:t>
            </w:r>
          </w:p>
        </w:tc>
        <w:tc>
          <w:tcPr>
            <w:tcW w:w="632" w:type="pct"/>
          </w:tcPr>
          <w:p w14:paraId="00F3BFCB" w14:textId="0435D5BE" w:rsidR="002E4312" w:rsidRPr="00F51434" w:rsidRDefault="002E4312" w:rsidP="005A3437">
            <w:pPr>
              <w:rPr>
                <w:rFonts w:ascii="Arial" w:hAnsi="Arial" w:cs="Arial"/>
                <w:sz w:val="20"/>
              </w:rPr>
            </w:pPr>
            <w:r w:rsidRPr="00F51434">
              <w:rPr>
                <w:rFonts w:ascii="Arial" w:hAnsi="Arial" w:cs="Arial"/>
                <w:sz w:val="20"/>
              </w:rPr>
              <w:t>Some minor impact on</w:t>
            </w:r>
            <w:r w:rsidR="00367A84" w:rsidRPr="00F51434">
              <w:rPr>
                <w:rFonts w:ascii="Arial" w:hAnsi="Arial" w:cs="Arial"/>
                <w:sz w:val="20"/>
              </w:rPr>
              <w:t xml:space="preserve"> </w:t>
            </w:r>
            <w:r w:rsidRPr="00F51434">
              <w:rPr>
                <w:rFonts w:ascii="Arial" w:hAnsi="Arial" w:cs="Arial"/>
                <w:sz w:val="20"/>
              </w:rPr>
              <w:t>service</w:t>
            </w:r>
          </w:p>
        </w:tc>
        <w:tc>
          <w:tcPr>
            <w:tcW w:w="379" w:type="pct"/>
          </w:tcPr>
          <w:p w14:paraId="22117C74" w14:textId="77777777" w:rsidR="002E4312" w:rsidRPr="00F51434" w:rsidRDefault="002E4312" w:rsidP="005A3437">
            <w:pPr>
              <w:rPr>
                <w:rFonts w:ascii="Arial" w:hAnsi="Arial" w:cs="Arial"/>
                <w:sz w:val="20"/>
              </w:rPr>
            </w:pPr>
            <w:r w:rsidRPr="00F51434">
              <w:rPr>
                <w:rFonts w:ascii="Arial" w:hAnsi="Arial" w:cs="Arial"/>
                <w:sz w:val="20"/>
              </w:rPr>
              <w:t>£5k-£50k</w:t>
            </w:r>
          </w:p>
        </w:tc>
        <w:tc>
          <w:tcPr>
            <w:tcW w:w="1077" w:type="pct"/>
          </w:tcPr>
          <w:p w14:paraId="13E04057" w14:textId="77777777" w:rsidR="002E4312" w:rsidRPr="00F51434" w:rsidRDefault="002E4312" w:rsidP="005A3437">
            <w:pPr>
              <w:rPr>
                <w:rFonts w:ascii="Arial" w:hAnsi="Arial" w:cs="Arial"/>
                <w:sz w:val="20"/>
              </w:rPr>
            </w:pPr>
            <w:r w:rsidRPr="00F51434">
              <w:rPr>
                <w:rFonts w:ascii="Arial" w:hAnsi="Arial" w:cs="Arial"/>
                <w:sz w:val="20"/>
              </w:rPr>
              <w:t>Contained within department</w:t>
            </w:r>
          </w:p>
        </w:tc>
        <w:tc>
          <w:tcPr>
            <w:tcW w:w="1362" w:type="pct"/>
          </w:tcPr>
          <w:p w14:paraId="33016B40" w14:textId="7FC4AFD0" w:rsidR="002E4312" w:rsidRPr="00F51434" w:rsidRDefault="00367A84" w:rsidP="005A3437">
            <w:pPr>
              <w:rPr>
                <w:rFonts w:ascii="Arial" w:hAnsi="Arial" w:cs="Arial"/>
                <w:sz w:val="20"/>
              </w:rPr>
            </w:pPr>
            <w:r w:rsidRPr="00F51434">
              <w:rPr>
                <w:rFonts w:ascii="Arial" w:hAnsi="Arial" w:cs="Arial"/>
                <w:sz w:val="20"/>
              </w:rPr>
              <w:t xml:space="preserve">Litigation claim or fine </w:t>
            </w:r>
            <w:r w:rsidR="002E4312" w:rsidRPr="00F51434">
              <w:rPr>
                <w:rFonts w:ascii="Arial" w:hAnsi="Arial" w:cs="Arial"/>
                <w:sz w:val="20"/>
              </w:rPr>
              <w:t>£5k-£50k</w:t>
            </w:r>
          </w:p>
        </w:tc>
        <w:tc>
          <w:tcPr>
            <w:tcW w:w="1011" w:type="pct"/>
          </w:tcPr>
          <w:p w14:paraId="587C4509" w14:textId="61F95A0A" w:rsidR="002E4312" w:rsidRPr="00F51434" w:rsidRDefault="002E4312" w:rsidP="005A3437">
            <w:pPr>
              <w:rPr>
                <w:rFonts w:ascii="Arial" w:hAnsi="Arial" w:cs="Arial"/>
                <w:sz w:val="20"/>
              </w:rPr>
            </w:pPr>
            <w:r w:rsidRPr="00F51434">
              <w:rPr>
                <w:rFonts w:ascii="Arial" w:hAnsi="Arial" w:cs="Arial"/>
                <w:sz w:val="20"/>
              </w:rPr>
              <w:t xml:space="preserve">Minor </w:t>
            </w:r>
            <w:r w:rsidR="00367A84" w:rsidRPr="00F51434">
              <w:rPr>
                <w:rFonts w:ascii="Arial" w:hAnsi="Arial" w:cs="Arial"/>
                <w:sz w:val="20"/>
              </w:rPr>
              <w:t>injuries</w:t>
            </w:r>
            <w:r w:rsidRPr="00F51434">
              <w:rPr>
                <w:rFonts w:ascii="Arial" w:hAnsi="Arial" w:cs="Arial"/>
                <w:sz w:val="20"/>
              </w:rPr>
              <w:t xml:space="preserve"> to several people</w:t>
            </w:r>
          </w:p>
        </w:tc>
      </w:tr>
      <w:tr w:rsidR="005F6572" w:rsidRPr="00F51434" w14:paraId="75008002" w14:textId="77777777" w:rsidTr="005A3437">
        <w:tc>
          <w:tcPr>
            <w:tcW w:w="194" w:type="pct"/>
          </w:tcPr>
          <w:p w14:paraId="1FAAFE14" w14:textId="77777777" w:rsidR="002E4312" w:rsidRPr="00F51434" w:rsidRDefault="002E4312" w:rsidP="005A34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51434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345" w:type="pct"/>
          </w:tcPr>
          <w:p w14:paraId="05145E76" w14:textId="2055851C" w:rsidR="002E4312" w:rsidRPr="00F51434" w:rsidRDefault="002E4312" w:rsidP="005A3437">
            <w:pPr>
              <w:rPr>
                <w:rFonts w:ascii="Arial" w:hAnsi="Arial" w:cs="Arial"/>
                <w:sz w:val="20"/>
              </w:rPr>
            </w:pPr>
            <w:r w:rsidRPr="00F51434">
              <w:rPr>
                <w:rFonts w:ascii="Arial" w:hAnsi="Arial" w:cs="Arial"/>
                <w:sz w:val="20"/>
              </w:rPr>
              <w:t>Negligible</w:t>
            </w:r>
          </w:p>
        </w:tc>
        <w:tc>
          <w:tcPr>
            <w:tcW w:w="632" w:type="pct"/>
          </w:tcPr>
          <w:p w14:paraId="7DE2107D" w14:textId="0CAC4D72" w:rsidR="002E4312" w:rsidRPr="00F51434" w:rsidRDefault="002E4312" w:rsidP="005A3437">
            <w:pPr>
              <w:rPr>
                <w:rFonts w:ascii="Arial" w:hAnsi="Arial" w:cs="Arial"/>
                <w:sz w:val="20"/>
              </w:rPr>
            </w:pPr>
            <w:r w:rsidRPr="00F51434">
              <w:rPr>
                <w:rFonts w:ascii="Arial" w:hAnsi="Arial" w:cs="Arial"/>
                <w:sz w:val="20"/>
              </w:rPr>
              <w:t>Annoyance but does not disrupt service</w:t>
            </w:r>
          </w:p>
        </w:tc>
        <w:tc>
          <w:tcPr>
            <w:tcW w:w="379" w:type="pct"/>
          </w:tcPr>
          <w:p w14:paraId="649F99B2" w14:textId="77777777" w:rsidR="002E4312" w:rsidRPr="00F51434" w:rsidRDefault="002E4312" w:rsidP="005A3437">
            <w:pPr>
              <w:rPr>
                <w:rFonts w:ascii="Arial" w:hAnsi="Arial" w:cs="Arial"/>
                <w:sz w:val="20"/>
              </w:rPr>
            </w:pPr>
            <w:r w:rsidRPr="00F51434">
              <w:rPr>
                <w:rFonts w:ascii="Arial" w:hAnsi="Arial" w:cs="Arial"/>
                <w:sz w:val="20"/>
              </w:rPr>
              <w:t>&lt; £5k</w:t>
            </w:r>
          </w:p>
        </w:tc>
        <w:tc>
          <w:tcPr>
            <w:tcW w:w="1077" w:type="pct"/>
          </w:tcPr>
          <w:p w14:paraId="59D83F78" w14:textId="6F4AA6E4" w:rsidR="002E4312" w:rsidRPr="00F51434" w:rsidRDefault="002E4312" w:rsidP="005A3437">
            <w:pPr>
              <w:rPr>
                <w:rFonts w:ascii="Arial" w:hAnsi="Arial" w:cs="Arial"/>
                <w:sz w:val="20"/>
              </w:rPr>
            </w:pPr>
            <w:r w:rsidRPr="00F51434">
              <w:rPr>
                <w:rFonts w:ascii="Arial" w:hAnsi="Arial" w:cs="Arial"/>
                <w:sz w:val="20"/>
              </w:rPr>
              <w:t>Contained with</w:t>
            </w:r>
            <w:r w:rsidR="00367A84" w:rsidRPr="00F51434">
              <w:rPr>
                <w:rFonts w:ascii="Arial" w:hAnsi="Arial" w:cs="Arial"/>
                <w:sz w:val="20"/>
              </w:rPr>
              <w:t xml:space="preserve">in </w:t>
            </w:r>
            <w:r w:rsidRPr="00F51434">
              <w:rPr>
                <w:rFonts w:ascii="Arial" w:hAnsi="Arial" w:cs="Arial"/>
                <w:sz w:val="20"/>
              </w:rPr>
              <w:t>unit/sec</w:t>
            </w:r>
            <w:r w:rsidR="00367A84" w:rsidRPr="00F51434">
              <w:rPr>
                <w:rFonts w:ascii="Arial" w:hAnsi="Arial" w:cs="Arial"/>
                <w:sz w:val="20"/>
              </w:rPr>
              <w:t>tion</w:t>
            </w:r>
          </w:p>
        </w:tc>
        <w:tc>
          <w:tcPr>
            <w:tcW w:w="1362" w:type="pct"/>
          </w:tcPr>
          <w:p w14:paraId="5807B775" w14:textId="547207B3" w:rsidR="002E4312" w:rsidRPr="00F51434" w:rsidRDefault="00367A84" w:rsidP="005A3437">
            <w:pPr>
              <w:rPr>
                <w:rFonts w:ascii="Arial" w:hAnsi="Arial" w:cs="Arial"/>
                <w:sz w:val="20"/>
              </w:rPr>
            </w:pPr>
            <w:r w:rsidRPr="00F51434">
              <w:rPr>
                <w:rFonts w:ascii="Arial" w:hAnsi="Arial" w:cs="Arial"/>
                <w:sz w:val="20"/>
              </w:rPr>
              <w:t xml:space="preserve">Litigation claim or fine </w:t>
            </w:r>
            <w:r w:rsidR="002E4312" w:rsidRPr="00F51434">
              <w:rPr>
                <w:rFonts w:ascii="Arial" w:hAnsi="Arial" w:cs="Arial"/>
                <w:sz w:val="20"/>
              </w:rPr>
              <w:t>less than £5k</w:t>
            </w:r>
          </w:p>
        </w:tc>
        <w:tc>
          <w:tcPr>
            <w:tcW w:w="1011" w:type="pct"/>
          </w:tcPr>
          <w:p w14:paraId="3B15EDAE" w14:textId="142243D6" w:rsidR="002E4312" w:rsidRPr="00F51434" w:rsidRDefault="00367A84" w:rsidP="005A3437">
            <w:pPr>
              <w:rPr>
                <w:rFonts w:ascii="Arial" w:hAnsi="Arial" w:cs="Arial"/>
                <w:sz w:val="20"/>
              </w:rPr>
            </w:pPr>
            <w:r w:rsidRPr="00F51434">
              <w:rPr>
                <w:rFonts w:ascii="Arial" w:hAnsi="Arial" w:cs="Arial"/>
                <w:sz w:val="20"/>
              </w:rPr>
              <w:t>Minor injuries to an individual</w:t>
            </w:r>
          </w:p>
        </w:tc>
      </w:tr>
    </w:tbl>
    <w:p w14:paraId="23077B22" w14:textId="77777777" w:rsidR="002E4312" w:rsidRPr="00F51434" w:rsidRDefault="002E4312" w:rsidP="005A3437">
      <w:pPr>
        <w:rPr>
          <w:rFonts w:ascii="Arial" w:hAnsi="Arial" w:cs="Arial"/>
        </w:rPr>
      </w:pPr>
    </w:p>
    <w:tbl>
      <w:tblPr>
        <w:tblStyle w:val="TableGrid"/>
        <w:tblW w:w="21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5"/>
        <w:gridCol w:w="11806"/>
      </w:tblGrid>
      <w:tr w:rsidR="00451C05" w:rsidRPr="00F51434" w14:paraId="31970473" w14:textId="77777777" w:rsidTr="005A3437">
        <w:tc>
          <w:tcPr>
            <w:tcW w:w="9735" w:type="dxa"/>
          </w:tcPr>
          <w:p w14:paraId="7729E903" w14:textId="77777777" w:rsidR="00451C05" w:rsidRPr="00F51434" w:rsidRDefault="00451C05" w:rsidP="00451C05">
            <w:pPr>
              <w:pStyle w:val="Heading1"/>
            </w:pPr>
            <w:r w:rsidRPr="00F51434">
              <w:rPr>
                <w:w w:val="100"/>
              </w:rPr>
              <w:t>Likelihood Classification</w:t>
            </w:r>
          </w:p>
          <w:p w14:paraId="1DDD07E3" w14:textId="77777777" w:rsidR="00451C05" w:rsidRPr="00F51434" w:rsidRDefault="00451C05" w:rsidP="005A3437">
            <w:pPr>
              <w:pStyle w:val="ListParagraph"/>
              <w:numPr>
                <w:ilvl w:val="0"/>
                <w:numId w:val="14"/>
              </w:numPr>
            </w:pPr>
            <w:r w:rsidRPr="00F51434">
              <w:t>Rare - May occur only in exceptional circumstances (0-5%)</w:t>
            </w:r>
          </w:p>
          <w:p w14:paraId="4384433E" w14:textId="77777777" w:rsidR="00451C05" w:rsidRPr="00F51434" w:rsidRDefault="00451C05" w:rsidP="005A3437">
            <w:pPr>
              <w:pStyle w:val="ListParagraph"/>
              <w:numPr>
                <w:ilvl w:val="0"/>
                <w:numId w:val="14"/>
              </w:numPr>
            </w:pPr>
            <w:r w:rsidRPr="00F51434">
              <w:t>Unlikely- Could occur at some time (6%-20%)</w:t>
            </w:r>
          </w:p>
          <w:p w14:paraId="441468B5" w14:textId="40A4DF83" w:rsidR="00451C05" w:rsidRPr="00F51434" w:rsidRDefault="00451C05" w:rsidP="005A3437">
            <w:pPr>
              <w:pStyle w:val="ListParagraph"/>
              <w:numPr>
                <w:ilvl w:val="0"/>
                <w:numId w:val="14"/>
              </w:numPr>
            </w:pPr>
            <w:r w:rsidRPr="00F51434">
              <w:t xml:space="preserve">Possible - </w:t>
            </w:r>
            <w:r w:rsidR="00F86BFA" w:rsidRPr="00F51434">
              <w:t>likely</w:t>
            </w:r>
            <w:r w:rsidRPr="00F51434">
              <w:t xml:space="preserve"> to occur (21%-50%)</w:t>
            </w:r>
          </w:p>
          <w:p w14:paraId="5E01B0A8" w14:textId="77777777" w:rsidR="00451C05" w:rsidRPr="00F51434" w:rsidRDefault="00451C05" w:rsidP="005A3437">
            <w:pPr>
              <w:pStyle w:val="ListParagraph"/>
              <w:numPr>
                <w:ilvl w:val="0"/>
                <w:numId w:val="14"/>
              </w:numPr>
            </w:pPr>
            <w:r w:rsidRPr="00F51434">
              <w:t>Likely-Will probably occur in most circumstances (51%-80%)</w:t>
            </w:r>
          </w:p>
          <w:p w14:paraId="01E3131F" w14:textId="77777777" w:rsidR="00451C05" w:rsidRPr="00F51434" w:rsidRDefault="00451C05" w:rsidP="005A3437">
            <w:pPr>
              <w:pStyle w:val="ListParagraph"/>
              <w:numPr>
                <w:ilvl w:val="0"/>
                <w:numId w:val="14"/>
              </w:numPr>
            </w:pPr>
            <w:r w:rsidRPr="00F51434">
              <w:t>Almost Certain - Expected to occur in most circumstances &gt;80%)</w:t>
            </w:r>
          </w:p>
          <w:p w14:paraId="384D766C" w14:textId="77777777" w:rsidR="00451C05" w:rsidRPr="00F51434" w:rsidRDefault="00451C05" w:rsidP="005F6572">
            <w:pPr>
              <w:pStyle w:val="Heading1"/>
              <w:rPr>
                <w:w w:val="100"/>
              </w:rPr>
            </w:pPr>
          </w:p>
        </w:tc>
        <w:tc>
          <w:tcPr>
            <w:tcW w:w="11806" w:type="dxa"/>
          </w:tcPr>
          <w:p w14:paraId="6B62A196" w14:textId="77777777" w:rsidR="00451C05" w:rsidRPr="00F51434" w:rsidRDefault="00451C05" w:rsidP="00451C05">
            <w:pPr>
              <w:pStyle w:val="Heading1"/>
            </w:pPr>
            <w:r w:rsidRPr="00F51434">
              <w:rPr>
                <w:w w:val="100"/>
              </w:rPr>
              <w:t xml:space="preserve">Risk Rating/Scoring = </w:t>
            </w:r>
            <w:r w:rsidRPr="00F51434">
              <w:t>Impact</w:t>
            </w:r>
            <w:r w:rsidRPr="00F51434">
              <w:rPr>
                <w:w w:val="100"/>
              </w:rPr>
              <w:t xml:space="preserve"> x likelihood. Prioritisation of Risks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30"/>
              <w:gridCol w:w="7726"/>
            </w:tblGrid>
            <w:tr w:rsidR="00AA17AE" w:rsidRPr="00F51434" w14:paraId="11B85C7A" w14:textId="0216C265" w:rsidTr="00AA17AE">
              <w:tc>
                <w:tcPr>
                  <w:tcW w:w="1630" w:type="dxa"/>
                  <w:shd w:val="clear" w:color="auto" w:fill="FF0000"/>
                </w:tcPr>
                <w:p w14:paraId="41DDE93C" w14:textId="77777777" w:rsidR="00AA17AE" w:rsidRPr="00F51434" w:rsidRDefault="00AA17AE" w:rsidP="00451C05">
                  <w:pPr>
                    <w:rPr>
                      <w:rFonts w:ascii="Arial" w:hAnsi="Arial" w:cs="Arial"/>
                    </w:rPr>
                  </w:pPr>
                  <w:r w:rsidRPr="00F51434">
                    <w:rPr>
                      <w:rFonts w:ascii="Arial" w:hAnsi="Arial" w:cs="Arial"/>
                    </w:rPr>
                    <w:t>20-25 (Red)</w:t>
                  </w:r>
                </w:p>
              </w:tc>
              <w:tc>
                <w:tcPr>
                  <w:tcW w:w="7726" w:type="dxa"/>
                </w:tcPr>
                <w:p w14:paraId="79497271" w14:textId="77777777" w:rsidR="00AA17AE" w:rsidRPr="00F51434" w:rsidRDefault="00AA17AE" w:rsidP="00451C05">
                  <w:pPr>
                    <w:rPr>
                      <w:rFonts w:ascii="Arial" w:hAnsi="Arial" w:cs="Arial"/>
                    </w:rPr>
                  </w:pPr>
                  <w:r w:rsidRPr="00F51434">
                    <w:rPr>
                      <w:rFonts w:ascii="Arial" w:hAnsi="Arial" w:cs="Arial"/>
                    </w:rPr>
                    <w:t>Those risks requiring immediate management and monitoring</w:t>
                  </w:r>
                </w:p>
              </w:tc>
            </w:tr>
            <w:tr w:rsidR="00AA17AE" w:rsidRPr="00F51434" w14:paraId="3B730E5F" w14:textId="46EF3D92" w:rsidTr="00AA17AE">
              <w:tc>
                <w:tcPr>
                  <w:tcW w:w="1630" w:type="dxa"/>
                  <w:shd w:val="clear" w:color="auto" w:fill="FFC000"/>
                </w:tcPr>
                <w:p w14:paraId="68C07EDF" w14:textId="77777777" w:rsidR="00AA17AE" w:rsidRPr="00F51434" w:rsidRDefault="00AA17AE" w:rsidP="00451C05">
                  <w:pPr>
                    <w:rPr>
                      <w:rFonts w:ascii="Arial" w:hAnsi="Arial" w:cs="Arial"/>
                    </w:rPr>
                  </w:pPr>
                  <w:r w:rsidRPr="00F51434">
                    <w:rPr>
                      <w:rFonts w:ascii="Arial" w:hAnsi="Arial" w:cs="Arial"/>
                    </w:rPr>
                    <w:t>9-19 (Amber)</w:t>
                  </w:r>
                </w:p>
              </w:tc>
              <w:tc>
                <w:tcPr>
                  <w:tcW w:w="7726" w:type="dxa"/>
                </w:tcPr>
                <w:p w14:paraId="3BD026F3" w14:textId="77777777" w:rsidR="00AA17AE" w:rsidRPr="00F51434" w:rsidRDefault="00AA17AE" w:rsidP="00451C05">
                  <w:pPr>
                    <w:rPr>
                      <w:rFonts w:ascii="Arial" w:hAnsi="Arial" w:cs="Arial"/>
                    </w:rPr>
                  </w:pPr>
                  <w:r w:rsidRPr="00F51434">
                    <w:rPr>
                      <w:rFonts w:ascii="Arial" w:hAnsi="Arial" w:cs="Arial"/>
                    </w:rPr>
                    <w:t>Those risks requiring management and monitoring but less time critical</w:t>
                  </w:r>
                </w:p>
              </w:tc>
            </w:tr>
            <w:tr w:rsidR="00AA17AE" w:rsidRPr="00F51434" w14:paraId="17665C0D" w14:textId="70A47ECD" w:rsidTr="00AA17AE">
              <w:tc>
                <w:tcPr>
                  <w:tcW w:w="1630" w:type="dxa"/>
                  <w:shd w:val="clear" w:color="auto" w:fill="92D050"/>
                </w:tcPr>
                <w:p w14:paraId="47FB2109" w14:textId="77777777" w:rsidR="00AA17AE" w:rsidRPr="00F51434" w:rsidRDefault="00AA17AE" w:rsidP="00451C05">
                  <w:pPr>
                    <w:rPr>
                      <w:rFonts w:ascii="Arial" w:hAnsi="Arial" w:cs="Arial"/>
                    </w:rPr>
                  </w:pPr>
                  <w:r w:rsidRPr="00F51434">
                    <w:rPr>
                      <w:rFonts w:ascii="Arial" w:hAnsi="Arial" w:cs="Arial"/>
                    </w:rPr>
                    <w:t>1-8 (Green)</w:t>
                  </w:r>
                </w:p>
              </w:tc>
              <w:tc>
                <w:tcPr>
                  <w:tcW w:w="7726" w:type="dxa"/>
                </w:tcPr>
                <w:p w14:paraId="082F3DE6" w14:textId="77777777" w:rsidR="00AA17AE" w:rsidRPr="00F51434" w:rsidRDefault="00AA17AE" w:rsidP="00451C05">
                  <w:pPr>
                    <w:rPr>
                      <w:rFonts w:ascii="Arial" w:hAnsi="Arial" w:cs="Arial"/>
                    </w:rPr>
                  </w:pPr>
                  <w:r w:rsidRPr="00F51434">
                    <w:rPr>
                      <w:rFonts w:ascii="Arial" w:hAnsi="Arial" w:cs="Arial"/>
                    </w:rPr>
                    <w:t>Those risks which require ongoing monitoring</w:t>
                  </w:r>
                </w:p>
              </w:tc>
            </w:tr>
          </w:tbl>
          <w:p w14:paraId="4CE61ABD" w14:textId="77777777" w:rsidR="00451C05" w:rsidRPr="00F51434" w:rsidRDefault="00451C05" w:rsidP="00451C05">
            <w:pPr>
              <w:rPr>
                <w:rFonts w:ascii="Arial" w:hAnsi="Arial" w:cs="Arial"/>
              </w:rPr>
            </w:pPr>
          </w:p>
          <w:p w14:paraId="0EC4DE76" w14:textId="77777777" w:rsidR="00451C05" w:rsidRPr="00F51434" w:rsidRDefault="00451C05" w:rsidP="005F6572">
            <w:pPr>
              <w:pStyle w:val="Heading1"/>
              <w:rPr>
                <w:w w:val="100"/>
              </w:rPr>
            </w:pPr>
          </w:p>
        </w:tc>
      </w:tr>
    </w:tbl>
    <w:p w14:paraId="58A8B75D" w14:textId="101F827A" w:rsidR="0039509C" w:rsidRPr="00F51434" w:rsidRDefault="0039509C" w:rsidP="00C26E3E">
      <w:pPr>
        <w:spacing w:after="240"/>
        <w:outlineLvl w:val="3"/>
        <w:rPr>
          <w:rFonts w:ascii="Arial" w:hAnsi="Arial" w:cs="Arial"/>
          <w:szCs w:val="24"/>
        </w:rPr>
      </w:pPr>
    </w:p>
    <w:sectPr w:rsidR="0039509C" w:rsidRPr="00F51434" w:rsidSect="00133B18">
      <w:headerReference w:type="default" r:id="rId9"/>
      <w:pgSz w:w="23820" w:h="16840" w:orient="landscape"/>
      <w:pgMar w:top="1135" w:right="3460" w:bottom="280" w:left="880" w:header="720" w:footer="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EE088" w14:textId="77777777" w:rsidR="001C0A16" w:rsidRDefault="001C0A16">
      <w:r>
        <w:separator/>
      </w:r>
    </w:p>
  </w:endnote>
  <w:endnote w:type="continuationSeparator" w:id="0">
    <w:p w14:paraId="28D0F1F5" w14:textId="77777777" w:rsidR="001C0A16" w:rsidRDefault="001C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undry Form Sans">
    <w:altName w:val="Times New Roman"/>
    <w:charset w:val="00"/>
    <w:family w:val="auto"/>
    <w:pitch w:val="variable"/>
    <w:sig w:usb0="800000A7" w:usb1="00000040" w:usb2="00000000" w:usb3="00000000" w:csb0="00000001" w:csb1="00000000"/>
  </w:font>
  <w:font w:name="Officina Sans ITC T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</w:rPr>
      <w:id w:val="-131001936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</w:rPr>
          <w:id w:val="-495193834"/>
          <w:docPartObj>
            <w:docPartGallery w:val="Page Numbers (Top of Page)"/>
            <w:docPartUnique/>
          </w:docPartObj>
        </w:sdtPr>
        <w:sdtEndPr/>
        <w:sdtContent>
          <w:p w14:paraId="24100BD4" w14:textId="07FC3910" w:rsidR="00A813DA" w:rsidRPr="005A3437" w:rsidRDefault="00A813DA" w:rsidP="005A3437">
            <w:pPr>
              <w:pStyle w:val="Footer"/>
              <w:ind w:right="-2775" w:firstLine="21263"/>
              <w:rPr>
                <w:rFonts w:ascii="Arial" w:hAnsi="Arial" w:cs="Arial"/>
                <w:sz w:val="22"/>
              </w:rPr>
            </w:pPr>
            <w:proofErr w:type="spellStart"/>
            <w:r w:rsidRPr="005A3437">
              <w:rPr>
                <w:rFonts w:ascii="Arial" w:hAnsi="Arial" w:cs="Arial"/>
                <w:sz w:val="18"/>
              </w:rPr>
              <w:t>P</w:t>
            </w:r>
            <w:r w:rsidR="00595D22">
              <w:rPr>
                <w:rFonts w:ascii="Arial" w:hAnsi="Arial" w:cs="Arial"/>
                <w:sz w:val="18"/>
              </w:rPr>
              <w:t>P</w:t>
            </w:r>
            <w:r w:rsidRPr="005A3437">
              <w:rPr>
                <w:rFonts w:ascii="Arial" w:hAnsi="Arial" w:cs="Arial"/>
                <w:sz w:val="18"/>
              </w:rPr>
              <w:t>age</w:t>
            </w:r>
            <w:proofErr w:type="spellEnd"/>
            <w:r w:rsidRPr="005A3437">
              <w:rPr>
                <w:rFonts w:ascii="Arial" w:hAnsi="Arial" w:cs="Arial"/>
                <w:sz w:val="18"/>
              </w:rPr>
              <w:t xml:space="preserve"> </w:t>
            </w:r>
            <w:r w:rsidRPr="005A3437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5A3437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5A3437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DB405C">
              <w:rPr>
                <w:rFonts w:ascii="Arial" w:hAnsi="Arial" w:cs="Arial"/>
                <w:b/>
                <w:bCs/>
                <w:noProof/>
                <w:sz w:val="18"/>
              </w:rPr>
              <w:t>3</w:t>
            </w:r>
            <w:r w:rsidRPr="005A3437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  <w:r w:rsidRPr="005A3437">
              <w:rPr>
                <w:rFonts w:ascii="Arial" w:hAnsi="Arial" w:cs="Arial"/>
                <w:sz w:val="18"/>
              </w:rPr>
              <w:t xml:space="preserve"> of </w:t>
            </w:r>
            <w:r w:rsidRPr="005A3437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5A3437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5A3437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DB405C">
              <w:rPr>
                <w:rFonts w:ascii="Arial" w:hAnsi="Arial" w:cs="Arial"/>
                <w:b/>
                <w:bCs/>
                <w:noProof/>
                <w:sz w:val="18"/>
              </w:rPr>
              <w:t>3</w:t>
            </w:r>
            <w:r w:rsidRPr="005A3437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15020C5B" w14:textId="40D8DFE9" w:rsidR="00A813DA" w:rsidRPr="008C44DA" w:rsidRDefault="00A813DA" w:rsidP="008C4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7DB40" w14:textId="77777777" w:rsidR="001C0A16" w:rsidRDefault="001C0A16">
      <w:r>
        <w:separator/>
      </w:r>
    </w:p>
  </w:footnote>
  <w:footnote w:type="continuationSeparator" w:id="0">
    <w:p w14:paraId="756A0F17" w14:textId="77777777" w:rsidR="001C0A16" w:rsidRDefault="001C0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91B13" w14:textId="77777777" w:rsidR="00595D22" w:rsidRDefault="00595D22" w:rsidP="005A3437">
    <w:pPr>
      <w:pStyle w:val="Heading1"/>
    </w:pPr>
    <w:r>
      <w:t xml:space="preserve">Brexit Risk Register </w:t>
    </w:r>
    <w:r>
      <w:t>–</w:t>
    </w:r>
    <w:r>
      <w:t xml:space="preserve"> Contracts and Operations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EA42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1B5993"/>
    <w:multiLevelType w:val="hybridMultilevel"/>
    <w:tmpl w:val="643CBA18"/>
    <w:lvl w:ilvl="0" w:tplc="0809000F">
      <w:start w:val="1"/>
      <w:numFmt w:val="decimal"/>
      <w:lvlText w:val="%1."/>
      <w:lvlJc w:val="left"/>
      <w:pPr>
        <w:ind w:left="748" w:hanging="360"/>
      </w:pPr>
    </w:lvl>
    <w:lvl w:ilvl="1" w:tplc="08090019" w:tentative="1">
      <w:start w:val="1"/>
      <w:numFmt w:val="lowerLetter"/>
      <w:lvlText w:val="%2."/>
      <w:lvlJc w:val="left"/>
      <w:pPr>
        <w:ind w:left="1468" w:hanging="360"/>
      </w:pPr>
    </w:lvl>
    <w:lvl w:ilvl="2" w:tplc="0809001B" w:tentative="1">
      <w:start w:val="1"/>
      <w:numFmt w:val="lowerRoman"/>
      <w:lvlText w:val="%3."/>
      <w:lvlJc w:val="right"/>
      <w:pPr>
        <w:ind w:left="2188" w:hanging="180"/>
      </w:pPr>
    </w:lvl>
    <w:lvl w:ilvl="3" w:tplc="0809000F" w:tentative="1">
      <w:start w:val="1"/>
      <w:numFmt w:val="decimal"/>
      <w:lvlText w:val="%4."/>
      <w:lvlJc w:val="left"/>
      <w:pPr>
        <w:ind w:left="2908" w:hanging="360"/>
      </w:pPr>
    </w:lvl>
    <w:lvl w:ilvl="4" w:tplc="08090019" w:tentative="1">
      <w:start w:val="1"/>
      <w:numFmt w:val="lowerLetter"/>
      <w:lvlText w:val="%5."/>
      <w:lvlJc w:val="left"/>
      <w:pPr>
        <w:ind w:left="3628" w:hanging="360"/>
      </w:pPr>
    </w:lvl>
    <w:lvl w:ilvl="5" w:tplc="0809001B" w:tentative="1">
      <w:start w:val="1"/>
      <w:numFmt w:val="lowerRoman"/>
      <w:lvlText w:val="%6."/>
      <w:lvlJc w:val="right"/>
      <w:pPr>
        <w:ind w:left="4348" w:hanging="180"/>
      </w:pPr>
    </w:lvl>
    <w:lvl w:ilvl="6" w:tplc="0809000F" w:tentative="1">
      <w:start w:val="1"/>
      <w:numFmt w:val="decimal"/>
      <w:lvlText w:val="%7."/>
      <w:lvlJc w:val="left"/>
      <w:pPr>
        <w:ind w:left="5068" w:hanging="360"/>
      </w:pPr>
    </w:lvl>
    <w:lvl w:ilvl="7" w:tplc="08090019" w:tentative="1">
      <w:start w:val="1"/>
      <w:numFmt w:val="lowerLetter"/>
      <w:lvlText w:val="%8."/>
      <w:lvlJc w:val="left"/>
      <w:pPr>
        <w:ind w:left="5788" w:hanging="360"/>
      </w:pPr>
    </w:lvl>
    <w:lvl w:ilvl="8" w:tplc="08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 w15:restartNumberingAfterBreak="0">
    <w:nsid w:val="166E3364"/>
    <w:multiLevelType w:val="hybridMultilevel"/>
    <w:tmpl w:val="3A7E602E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1D184DED"/>
    <w:multiLevelType w:val="hybridMultilevel"/>
    <w:tmpl w:val="5F84C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D22AF"/>
    <w:multiLevelType w:val="hybridMultilevel"/>
    <w:tmpl w:val="BD389F1C"/>
    <w:lvl w:ilvl="0" w:tplc="1DAEDB4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E4F82"/>
    <w:multiLevelType w:val="hybridMultilevel"/>
    <w:tmpl w:val="0E40F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7436A3"/>
    <w:multiLevelType w:val="hybridMultilevel"/>
    <w:tmpl w:val="9612C4A0"/>
    <w:lvl w:ilvl="0" w:tplc="61BA837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C421B"/>
    <w:multiLevelType w:val="hybridMultilevel"/>
    <w:tmpl w:val="9524F57C"/>
    <w:lvl w:ilvl="0" w:tplc="0809000F">
      <w:start w:val="1"/>
      <w:numFmt w:val="decimal"/>
      <w:lvlText w:val="%1."/>
      <w:lvlJc w:val="left"/>
      <w:pPr>
        <w:ind w:left="748" w:hanging="360"/>
      </w:pPr>
    </w:lvl>
    <w:lvl w:ilvl="1" w:tplc="08090019" w:tentative="1">
      <w:start w:val="1"/>
      <w:numFmt w:val="lowerLetter"/>
      <w:lvlText w:val="%2."/>
      <w:lvlJc w:val="left"/>
      <w:pPr>
        <w:ind w:left="1468" w:hanging="360"/>
      </w:pPr>
    </w:lvl>
    <w:lvl w:ilvl="2" w:tplc="0809001B" w:tentative="1">
      <w:start w:val="1"/>
      <w:numFmt w:val="lowerRoman"/>
      <w:lvlText w:val="%3."/>
      <w:lvlJc w:val="right"/>
      <w:pPr>
        <w:ind w:left="2188" w:hanging="180"/>
      </w:pPr>
    </w:lvl>
    <w:lvl w:ilvl="3" w:tplc="0809000F" w:tentative="1">
      <w:start w:val="1"/>
      <w:numFmt w:val="decimal"/>
      <w:lvlText w:val="%4."/>
      <w:lvlJc w:val="left"/>
      <w:pPr>
        <w:ind w:left="2908" w:hanging="360"/>
      </w:pPr>
    </w:lvl>
    <w:lvl w:ilvl="4" w:tplc="08090019" w:tentative="1">
      <w:start w:val="1"/>
      <w:numFmt w:val="lowerLetter"/>
      <w:lvlText w:val="%5."/>
      <w:lvlJc w:val="left"/>
      <w:pPr>
        <w:ind w:left="3628" w:hanging="360"/>
      </w:pPr>
    </w:lvl>
    <w:lvl w:ilvl="5" w:tplc="0809001B" w:tentative="1">
      <w:start w:val="1"/>
      <w:numFmt w:val="lowerRoman"/>
      <w:lvlText w:val="%6."/>
      <w:lvlJc w:val="right"/>
      <w:pPr>
        <w:ind w:left="4348" w:hanging="180"/>
      </w:pPr>
    </w:lvl>
    <w:lvl w:ilvl="6" w:tplc="0809000F" w:tentative="1">
      <w:start w:val="1"/>
      <w:numFmt w:val="decimal"/>
      <w:lvlText w:val="%7."/>
      <w:lvlJc w:val="left"/>
      <w:pPr>
        <w:ind w:left="5068" w:hanging="360"/>
      </w:pPr>
    </w:lvl>
    <w:lvl w:ilvl="7" w:tplc="08090019" w:tentative="1">
      <w:start w:val="1"/>
      <w:numFmt w:val="lowerLetter"/>
      <w:lvlText w:val="%8."/>
      <w:lvlJc w:val="left"/>
      <w:pPr>
        <w:ind w:left="5788" w:hanging="360"/>
      </w:pPr>
    </w:lvl>
    <w:lvl w:ilvl="8" w:tplc="08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 w15:restartNumberingAfterBreak="0">
    <w:nsid w:val="46C41F2D"/>
    <w:multiLevelType w:val="hybridMultilevel"/>
    <w:tmpl w:val="92684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509D8"/>
    <w:multiLevelType w:val="hybridMultilevel"/>
    <w:tmpl w:val="90FECE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E5666"/>
    <w:multiLevelType w:val="hybridMultilevel"/>
    <w:tmpl w:val="90CA1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16221"/>
    <w:multiLevelType w:val="hybridMultilevel"/>
    <w:tmpl w:val="95E646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E5D1B"/>
    <w:multiLevelType w:val="multilevel"/>
    <w:tmpl w:val="B67AD6A2"/>
    <w:lvl w:ilvl="0">
      <w:start w:val="1"/>
      <w:numFmt w:val="decimal"/>
      <w:suff w:val="nothing"/>
      <w:lvlText w:val="%1."/>
      <w:lvlJc w:val="left"/>
      <w:pPr>
        <w:ind w:left="0" w:firstLine="170"/>
      </w:pPr>
      <w:rPr>
        <w:b/>
        <w:i w:val="0"/>
      </w:rPr>
    </w:lvl>
    <w:lvl w:ilvl="1">
      <w:start w:val="1"/>
      <w:numFmt w:val="decimal"/>
      <w:suff w:val="space"/>
      <w:lvlText w:val="(%2)"/>
      <w:lvlJc w:val="left"/>
      <w:pPr>
        <w:ind w:left="0" w:firstLine="170"/>
      </w:pPr>
      <w:rPr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lvlText w:val="(%4)"/>
      <w:lvlJc w:val="right"/>
      <w:pPr>
        <w:tabs>
          <w:tab w:val="num" w:pos="1134"/>
        </w:tabs>
        <w:ind w:left="1134" w:hanging="283"/>
      </w:pPr>
    </w:lvl>
    <w:lvl w:ilvl="4">
      <w:start w:val="27"/>
      <w:numFmt w:val="lowerLetter"/>
      <w:lvlText w:val="(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</w:lvl>
  </w:abstractNum>
  <w:abstractNum w:abstractNumId="13" w15:restartNumberingAfterBreak="0">
    <w:nsid w:val="6AEE758B"/>
    <w:multiLevelType w:val="hybridMultilevel"/>
    <w:tmpl w:val="1CE4A14E"/>
    <w:lvl w:ilvl="0" w:tplc="D188FDB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F4EB8"/>
    <w:multiLevelType w:val="multilevel"/>
    <w:tmpl w:val="AB88340C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312" w:hanging="170"/>
      </w:pPr>
      <w:rPr>
        <w:rFonts w:ascii="Symbol" w:hAnsi="Symbol" w:hint="default"/>
        <w:b w:val="0"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70" w:hanging="17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 w15:restartNumberingAfterBreak="0">
    <w:nsid w:val="73217F6D"/>
    <w:multiLevelType w:val="hybridMultilevel"/>
    <w:tmpl w:val="7D78F47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 w15:restartNumberingAfterBreak="0">
    <w:nsid w:val="733916E2"/>
    <w:multiLevelType w:val="singleLevel"/>
    <w:tmpl w:val="0AF23F5A"/>
    <w:name w:val="seq1"/>
    <w:lvl w:ilvl="0">
      <w:start w:val="2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74F53B1C"/>
    <w:multiLevelType w:val="hybridMultilevel"/>
    <w:tmpl w:val="AB5EABB6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8" w15:restartNumberingAfterBreak="0">
    <w:nsid w:val="794521C3"/>
    <w:multiLevelType w:val="hybridMultilevel"/>
    <w:tmpl w:val="E53A6336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 w15:restartNumberingAfterBreak="0">
    <w:nsid w:val="79B1418B"/>
    <w:multiLevelType w:val="hybridMultilevel"/>
    <w:tmpl w:val="7EAC18C0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7A195E7A"/>
    <w:multiLevelType w:val="hybridMultilevel"/>
    <w:tmpl w:val="8C1A3B1C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3"/>
  </w:num>
  <w:num w:numId="5">
    <w:abstractNumId w:val="4"/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"/>
  </w:num>
  <w:num w:numId="10">
    <w:abstractNumId w:val="8"/>
  </w:num>
  <w:num w:numId="11">
    <w:abstractNumId w:val="19"/>
  </w:num>
  <w:num w:numId="12">
    <w:abstractNumId w:val="1"/>
  </w:num>
  <w:num w:numId="13">
    <w:abstractNumId w:val="7"/>
  </w:num>
  <w:num w:numId="14">
    <w:abstractNumId w:val="9"/>
  </w:num>
  <w:num w:numId="15">
    <w:abstractNumId w:val="10"/>
  </w:num>
  <w:num w:numId="16">
    <w:abstractNumId w:val="11"/>
  </w:num>
  <w:num w:numId="17">
    <w:abstractNumId w:val="17"/>
  </w:num>
  <w:num w:numId="18">
    <w:abstractNumId w:val="18"/>
  </w:num>
  <w:num w:numId="19">
    <w:abstractNumId w:val="20"/>
  </w:num>
  <w:num w:numId="2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DA"/>
    <w:rsid w:val="00006FE3"/>
    <w:rsid w:val="00011E40"/>
    <w:rsid w:val="0001341C"/>
    <w:rsid w:val="00013985"/>
    <w:rsid w:val="000157A2"/>
    <w:rsid w:val="00016FA7"/>
    <w:rsid w:val="00017ABD"/>
    <w:rsid w:val="00020A9C"/>
    <w:rsid w:val="00022574"/>
    <w:rsid w:val="000247A9"/>
    <w:rsid w:val="00030B5D"/>
    <w:rsid w:val="000325E1"/>
    <w:rsid w:val="00034B83"/>
    <w:rsid w:val="000364C3"/>
    <w:rsid w:val="00036BB3"/>
    <w:rsid w:val="000376DD"/>
    <w:rsid w:val="00040377"/>
    <w:rsid w:val="00041B38"/>
    <w:rsid w:val="00050BD6"/>
    <w:rsid w:val="00051B59"/>
    <w:rsid w:val="000535F7"/>
    <w:rsid w:val="0005584C"/>
    <w:rsid w:val="00057672"/>
    <w:rsid w:val="000661DA"/>
    <w:rsid w:val="000721D3"/>
    <w:rsid w:val="00075E1E"/>
    <w:rsid w:val="00077FD9"/>
    <w:rsid w:val="00082A86"/>
    <w:rsid w:val="0008343E"/>
    <w:rsid w:val="00083A87"/>
    <w:rsid w:val="00086BBB"/>
    <w:rsid w:val="00087CC0"/>
    <w:rsid w:val="00093CEE"/>
    <w:rsid w:val="00093D50"/>
    <w:rsid w:val="00094C3C"/>
    <w:rsid w:val="00095E08"/>
    <w:rsid w:val="000A00F2"/>
    <w:rsid w:val="000A20CA"/>
    <w:rsid w:val="000A2330"/>
    <w:rsid w:val="000A2ED7"/>
    <w:rsid w:val="000A6544"/>
    <w:rsid w:val="000A6CBB"/>
    <w:rsid w:val="000B0968"/>
    <w:rsid w:val="000B5ECE"/>
    <w:rsid w:val="000B7672"/>
    <w:rsid w:val="000B794A"/>
    <w:rsid w:val="000C3A47"/>
    <w:rsid w:val="000C3EC0"/>
    <w:rsid w:val="000C4C0F"/>
    <w:rsid w:val="000C5A27"/>
    <w:rsid w:val="000C6967"/>
    <w:rsid w:val="000C6B17"/>
    <w:rsid w:val="000D1F6A"/>
    <w:rsid w:val="000D5C0B"/>
    <w:rsid w:val="000E1EEF"/>
    <w:rsid w:val="000E2845"/>
    <w:rsid w:val="000E28BE"/>
    <w:rsid w:val="000E336B"/>
    <w:rsid w:val="000E5C42"/>
    <w:rsid w:val="000E6768"/>
    <w:rsid w:val="000F15CC"/>
    <w:rsid w:val="000F35DB"/>
    <w:rsid w:val="000F659C"/>
    <w:rsid w:val="000F6688"/>
    <w:rsid w:val="00100B13"/>
    <w:rsid w:val="00101539"/>
    <w:rsid w:val="00104087"/>
    <w:rsid w:val="0010692E"/>
    <w:rsid w:val="00110733"/>
    <w:rsid w:val="001119E7"/>
    <w:rsid w:val="001129DC"/>
    <w:rsid w:val="00115242"/>
    <w:rsid w:val="001156E7"/>
    <w:rsid w:val="00116021"/>
    <w:rsid w:val="0011671B"/>
    <w:rsid w:val="00121151"/>
    <w:rsid w:val="00121799"/>
    <w:rsid w:val="00122FD3"/>
    <w:rsid w:val="00123A9D"/>
    <w:rsid w:val="00125DAF"/>
    <w:rsid w:val="00127B1F"/>
    <w:rsid w:val="00130DD3"/>
    <w:rsid w:val="00133B18"/>
    <w:rsid w:val="001367E1"/>
    <w:rsid w:val="00145FBA"/>
    <w:rsid w:val="001510FF"/>
    <w:rsid w:val="0015162B"/>
    <w:rsid w:val="001540FE"/>
    <w:rsid w:val="001626DE"/>
    <w:rsid w:val="001630CD"/>
    <w:rsid w:val="001726CF"/>
    <w:rsid w:val="00174647"/>
    <w:rsid w:val="00175053"/>
    <w:rsid w:val="00180DC3"/>
    <w:rsid w:val="00181426"/>
    <w:rsid w:val="00182470"/>
    <w:rsid w:val="001832BB"/>
    <w:rsid w:val="00185C41"/>
    <w:rsid w:val="0018668E"/>
    <w:rsid w:val="001870A6"/>
    <w:rsid w:val="00190B53"/>
    <w:rsid w:val="001973CA"/>
    <w:rsid w:val="00197B89"/>
    <w:rsid w:val="001A113B"/>
    <w:rsid w:val="001A1441"/>
    <w:rsid w:val="001A21A3"/>
    <w:rsid w:val="001A4049"/>
    <w:rsid w:val="001A4690"/>
    <w:rsid w:val="001A4720"/>
    <w:rsid w:val="001A4840"/>
    <w:rsid w:val="001A5F52"/>
    <w:rsid w:val="001A6E8E"/>
    <w:rsid w:val="001B1D57"/>
    <w:rsid w:val="001B28AB"/>
    <w:rsid w:val="001B71CD"/>
    <w:rsid w:val="001C0A16"/>
    <w:rsid w:val="001C2F19"/>
    <w:rsid w:val="001C3393"/>
    <w:rsid w:val="001C52C7"/>
    <w:rsid w:val="001C537C"/>
    <w:rsid w:val="001C5387"/>
    <w:rsid w:val="001C7219"/>
    <w:rsid w:val="001D191B"/>
    <w:rsid w:val="001D3477"/>
    <w:rsid w:val="001D39CC"/>
    <w:rsid w:val="001D5852"/>
    <w:rsid w:val="001D5AA2"/>
    <w:rsid w:val="001D68E6"/>
    <w:rsid w:val="001E3256"/>
    <w:rsid w:val="001E3F45"/>
    <w:rsid w:val="001E57DC"/>
    <w:rsid w:val="001E61C0"/>
    <w:rsid w:val="001F0F68"/>
    <w:rsid w:val="001F1CF3"/>
    <w:rsid w:val="001F2048"/>
    <w:rsid w:val="001F2652"/>
    <w:rsid w:val="001F2CE6"/>
    <w:rsid w:val="002028F5"/>
    <w:rsid w:val="002030F2"/>
    <w:rsid w:val="00203DB1"/>
    <w:rsid w:val="00206732"/>
    <w:rsid w:val="00207D4B"/>
    <w:rsid w:val="00211657"/>
    <w:rsid w:val="0021549E"/>
    <w:rsid w:val="00216D9E"/>
    <w:rsid w:val="00220947"/>
    <w:rsid w:val="002227F5"/>
    <w:rsid w:val="00222875"/>
    <w:rsid w:val="002234AF"/>
    <w:rsid w:val="00224282"/>
    <w:rsid w:val="0023037E"/>
    <w:rsid w:val="00230950"/>
    <w:rsid w:val="00231EA3"/>
    <w:rsid w:val="0023426B"/>
    <w:rsid w:val="002362F2"/>
    <w:rsid w:val="0023722A"/>
    <w:rsid w:val="002407B8"/>
    <w:rsid w:val="00242633"/>
    <w:rsid w:val="002522A6"/>
    <w:rsid w:val="002533F8"/>
    <w:rsid w:val="002549E3"/>
    <w:rsid w:val="00255902"/>
    <w:rsid w:val="00260BF1"/>
    <w:rsid w:val="002623D0"/>
    <w:rsid w:val="002626D8"/>
    <w:rsid w:val="00262F5D"/>
    <w:rsid w:val="00263DB5"/>
    <w:rsid w:val="002718C8"/>
    <w:rsid w:val="00271A0A"/>
    <w:rsid w:val="00276164"/>
    <w:rsid w:val="002912E7"/>
    <w:rsid w:val="002918C3"/>
    <w:rsid w:val="00291B9B"/>
    <w:rsid w:val="002941B5"/>
    <w:rsid w:val="0029719B"/>
    <w:rsid w:val="002A0A42"/>
    <w:rsid w:val="002A2865"/>
    <w:rsid w:val="002A2D72"/>
    <w:rsid w:val="002A3CE0"/>
    <w:rsid w:val="002A50C7"/>
    <w:rsid w:val="002B039E"/>
    <w:rsid w:val="002B4197"/>
    <w:rsid w:val="002B4FAA"/>
    <w:rsid w:val="002C1444"/>
    <w:rsid w:val="002C2193"/>
    <w:rsid w:val="002C5E47"/>
    <w:rsid w:val="002C7A85"/>
    <w:rsid w:val="002D044E"/>
    <w:rsid w:val="002D2A66"/>
    <w:rsid w:val="002D3ECD"/>
    <w:rsid w:val="002D5FD7"/>
    <w:rsid w:val="002D62B6"/>
    <w:rsid w:val="002D7D9F"/>
    <w:rsid w:val="002E00AB"/>
    <w:rsid w:val="002E4312"/>
    <w:rsid w:val="002E53FF"/>
    <w:rsid w:val="002E547D"/>
    <w:rsid w:val="002E5BE7"/>
    <w:rsid w:val="002E6671"/>
    <w:rsid w:val="002E724D"/>
    <w:rsid w:val="002F14C6"/>
    <w:rsid w:val="002F1538"/>
    <w:rsid w:val="00300735"/>
    <w:rsid w:val="00300F66"/>
    <w:rsid w:val="00302C78"/>
    <w:rsid w:val="003032AE"/>
    <w:rsid w:val="00303E26"/>
    <w:rsid w:val="0030453E"/>
    <w:rsid w:val="003057C3"/>
    <w:rsid w:val="003102EF"/>
    <w:rsid w:val="00311FD1"/>
    <w:rsid w:val="003132A7"/>
    <w:rsid w:val="00315759"/>
    <w:rsid w:val="00323D6A"/>
    <w:rsid w:val="00324AEB"/>
    <w:rsid w:val="00327CDF"/>
    <w:rsid w:val="00327EB1"/>
    <w:rsid w:val="0033295D"/>
    <w:rsid w:val="003354DA"/>
    <w:rsid w:val="00335937"/>
    <w:rsid w:val="00336AD4"/>
    <w:rsid w:val="00336C17"/>
    <w:rsid w:val="00345C23"/>
    <w:rsid w:val="00346F0B"/>
    <w:rsid w:val="00351542"/>
    <w:rsid w:val="003520CE"/>
    <w:rsid w:val="00352605"/>
    <w:rsid w:val="00353E1E"/>
    <w:rsid w:val="0035588B"/>
    <w:rsid w:val="00356688"/>
    <w:rsid w:val="003569F5"/>
    <w:rsid w:val="00357B7A"/>
    <w:rsid w:val="00360EBA"/>
    <w:rsid w:val="00360EEE"/>
    <w:rsid w:val="00364FA9"/>
    <w:rsid w:val="003663FB"/>
    <w:rsid w:val="00366519"/>
    <w:rsid w:val="0036751A"/>
    <w:rsid w:val="00367A84"/>
    <w:rsid w:val="00367C3E"/>
    <w:rsid w:val="00370F8E"/>
    <w:rsid w:val="003716E6"/>
    <w:rsid w:val="00372DE6"/>
    <w:rsid w:val="003768CD"/>
    <w:rsid w:val="0037775D"/>
    <w:rsid w:val="0039294E"/>
    <w:rsid w:val="0039509C"/>
    <w:rsid w:val="0039531D"/>
    <w:rsid w:val="003A1641"/>
    <w:rsid w:val="003A2B6D"/>
    <w:rsid w:val="003A52A8"/>
    <w:rsid w:val="003A544F"/>
    <w:rsid w:val="003A578E"/>
    <w:rsid w:val="003B014D"/>
    <w:rsid w:val="003B270E"/>
    <w:rsid w:val="003C4AB5"/>
    <w:rsid w:val="003D3E13"/>
    <w:rsid w:val="003D4981"/>
    <w:rsid w:val="003E1570"/>
    <w:rsid w:val="003E2A79"/>
    <w:rsid w:val="003E3B61"/>
    <w:rsid w:val="003E5673"/>
    <w:rsid w:val="003E6636"/>
    <w:rsid w:val="003F1C32"/>
    <w:rsid w:val="003F3F36"/>
    <w:rsid w:val="003F503E"/>
    <w:rsid w:val="003F5D93"/>
    <w:rsid w:val="004119B8"/>
    <w:rsid w:val="00412D85"/>
    <w:rsid w:val="00417FDF"/>
    <w:rsid w:val="00420266"/>
    <w:rsid w:val="0042160D"/>
    <w:rsid w:val="00423498"/>
    <w:rsid w:val="004250AE"/>
    <w:rsid w:val="00430ACE"/>
    <w:rsid w:val="00431D69"/>
    <w:rsid w:val="00432C2B"/>
    <w:rsid w:val="0043350D"/>
    <w:rsid w:val="004351F7"/>
    <w:rsid w:val="00436A35"/>
    <w:rsid w:val="00437221"/>
    <w:rsid w:val="00437EFB"/>
    <w:rsid w:val="004471DF"/>
    <w:rsid w:val="00450CE8"/>
    <w:rsid w:val="00451BFB"/>
    <w:rsid w:val="00451C05"/>
    <w:rsid w:val="00452E3E"/>
    <w:rsid w:val="0045307A"/>
    <w:rsid w:val="004543EF"/>
    <w:rsid w:val="00454601"/>
    <w:rsid w:val="00454A7B"/>
    <w:rsid w:val="00455369"/>
    <w:rsid w:val="00460EE5"/>
    <w:rsid w:val="004675D0"/>
    <w:rsid w:val="0046781C"/>
    <w:rsid w:val="00467C82"/>
    <w:rsid w:val="00472253"/>
    <w:rsid w:val="00473151"/>
    <w:rsid w:val="00474ADE"/>
    <w:rsid w:val="00475201"/>
    <w:rsid w:val="00476CD8"/>
    <w:rsid w:val="00482172"/>
    <w:rsid w:val="004851A9"/>
    <w:rsid w:val="004902B8"/>
    <w:rsid w:val="004944D1"/>
    <w:rsid w:val="00496D08"/>
    <w:rsid w:val="0049773E"/>
    <w:rsid w:val="004977F0"/>
    <w:rsid w:val="004A2814"/>
    <w:rsid w:val="004A4A1A"/>
    <w:rsid w:val="004B07A1"/>
    <w:rsid w:val="004B276C"/>
    <w:rsid w:val="004B3434"/>
    <w:rsid w:val="004B3E9E"/>
    <w:rsid w:val="004B44AD"/>
    <w:rsid w:val="004B4D64"/>
    <w:rsid w:val="004B525F"/>
    <w:rsid w:val="004C4794"/>
    <w:rsid w:val="004D0068"/>
    <w:rsid w:val="004D10E9"/>
    <w:rsid w:val="004D2534"/>
    <w:rsid w:val="004D27D2"/>
    <w:rsid w:val="004D3AD5"/>
    <w:rsid w:val="004D3E3B"/>
    <w:rsid w:val="004D5474"/>
    <w:rsid w:val="004E3186"/>
    <w:rsid w:val="004E330C"/>
    <w:rsid w:val="004E61A9"/>
    <w:rsid w:val="004F411A"/>
    <w:rsid w:val="004F514C"/>
    <w:rsid w:val="004F652A"/>
    <w:rsid w:val="004F6DAF"/>
    <w:rsid w:val="004F71C5"/>
    <w:rsid w:val="005007CC"/>
    <w:rsid w:val="00502CBB"/>
    <w:rsid w:val="00503251"/>
    <w:rsid w:val="005052F3"/>
    <w:rsid w:val="00505DAA"/>
    <w:rsid w:val="0050651F"/>
    <w:rsid w:val="00506E60"/>
    <w:rsid w:val="00511C8D"/>
    <w:rsid w:val="005136EA"/>
    <w:rsid w:val="00514822"/>
    <w:rsid w:val="0051488E"/>
    <w:rsid w:val="0051490C"/>
    <w:rsid w:val="00514A1E"/>
    <w:rsid w:val="005179B5"/>
    <w:rsid w:val="00521441"/>
    <w:rsid w:val="00521F0B"/>
    <w:rsid w:val="00522C1C"/>
    <w:rsid w:val="005255C8"/>
    <w:rsid w:val="00525F66"/>
    <w:rsid w:val="00526A0B"/>
    <w:rsid w:val="005273D8"/>
    <w:rsid w:val="00527F60"/>
    <w:rsid w:val="00530645"/>
    <w:rsid w:val="005334EB"/>
    <w:rsid w:val="0053411B"/>
    <w:rsid w:val="00535020"/>
    <w:rsid w:val="00535C42"/>
    <w:rsid w:val="00536264"/>
    <w:rsid w:val="00541E98"/>
    <w:rsid w:val="00544B9A"/>
    <w:rsid w:val="00545759"/>
    <w:rsid w:val="00547B02"/>
    <w:rsid w:val="005506C4"/>
    <w:rsid w:val="00554D4B"/>
    <w:rsid w:val="005553CA"/>
    <w:rsid w:val="005562C7"/>
    <w:rsid w:val="00557846"/>
    <w:rsid w:val="005632FC"/>
    <w:rsid w:val="005731F4"/>
    <w:rsid w:val="005767CF"/>
    <w:rsid w:val="005771DA"/>
    <w:rsid w:val="00583F20"/>
    <w:rsid w:val="0058632C"/>
    <w:rsid w:val="0058762F"/>
    <w:rsid w:val="0059083C"/>
    <w:rsid w:val="00590A15"/>
    <w:rsid w:val="00592D5F"/>
    <w:rsid w:val="00595D22"/>
    <w:rsid w:val="00597388"/>
    <w:rsid w:val="00597CF6"/>
    <w:rsid w:val="005A0D78"/>
    <w:rsid w:val="005A1218"/>
    <w:rsid w:val="005A2C38"/>
    <w:rsid w:val="005A2D4D"/>
    <w:rsid w:val="005A3437"/>
    <w:rsid w:val="005A50BB"/>
    <w:rsid w:val="005A567C"/>
    <w:rsid w:val="005A5842"/>
    <w:rsid w:val="005A6934"/>
    <w:rsid w:val="005B052E"/>
    <w:rsid w:val="005B06C9"/>
    <w:rsid w:val="005B307E"/>
    <w:rsid w:val="005B3E03"/>
    <w:rsid w:val="005B66DF"/>
    <w:rsid w:val="005C07E0"/>
    <w:rsid w:val="005C2308"/>
    <w:rsid w:val="005C286D"/>
    <w:rsid w:val="005D0740"/>
    <w:rsid w:val="005D3D19"/>
    <w:rsid w:val="005D4704"/>
    <w:rsid w:val="005D5E2A"/>
    <w:rsid w:val="005D6106"/>
    <w:rsid w:val="005E1C31"/>
    <w:rsid w:val="005E30C0"/>
    <w:rsid w:val="005E537A"/>
    <w:rsid w:val="005E6215"/>
    <w:rsid w:val="005E6835"/>
    <w:rsid w:val="005E6953"/>
    <w:rsid w:val="005F0278"/>
    <w:rsid w:val="005F0B46"/>
    <w:rsid w:val="005F1E62"/>
    <w:rsid w:val="005F6572"/>
    <w:rsid w:val="00601977"/>
    <w:rsid w:val="00605029"/>
    <w:rsid w:val="00605E9D"/>
    <w:rsid w:val="006065B5"/>
    <w:rsid w:val="00613454"/>
    <w:rsid w:val="006160AA"/>
    <w:rsid w:val="00625164"/>
    <w:rsid w:val="00627C83"/>
    <w:rsid w:val="0063034B"/>
    <w:rsid w:val="006341E0"/>
    <w:rsid w:val="006350FF"/>
    <w:rsid w:val="00640CD6"/>
    <w:rsid w:val="0064481C"/>
    <w:rsid w:val="00647E14"/>
    <w:rsid w:val="00647F32"/>
    <w:rsid w:val="006564AD"/>
    <w:rsid w:val="006604F7"/>
    <w:rsid w:val="00663BF9"/>
    <w:rsid w:val="00664535"/>
    <w:rsid w:val="00664598"/>
    <w:rsid w:val="00665D52"/>
    <w:rsid w:val="00667220"/>
    <w:rsid w:val="0067065F"/>
    <w:rsid w:val="00671632"/>
    <w:rsid w:val="00671740"/>
    <w:rsid w:val="006776AF"/>
    <w:rsid w:val="00677DE4"/>
    <w:rsid w:val="0068443F"/>
    <w:rsid w:val="00684722"/>
    <w:rsid w:val="006871DB"/>
    <w:rsid w:val="006876D1"/>
    <w:rsid w:val="00687823"/>
    <w:rsid w:val="006940D1"/>
    <w:rsid w:val="00694903"/>
    <w:rsid w:val="00696027"/>
    <w:rsid w:val="00697D38"/>
    <w:rsid w:val="006A1859"/>
    <w:rsid w:val="006A3E23"/>
    <w:rsid w:val="006A4069"/>
    <w:rsid w:val="006A4DEC"/>
    <w:rsid w:val="006A5499"/>
    <w:rsid w:val="006A5AD1"/>
    <w:rsid w:val="006A6497"/>
    <w:rsid w:val="006A6753"/>
    <w:rsid w:val="006A6857"/>
    <w:rsid w:val="006A693E"/>
    <w:rsid w:val="006B081D"/>
    <w:rsid w:val="006B11BC"/>
    <w:rsid w:val="006B14B3"/>
    <w:rsid w:val="006B1A31"/>
    <w:rsid w:val="006B4CB5"/>
    <w:rsid w:val="006C0684"/>
    <w:rsid w:val="006C0E91"/>
    <w:rsid w:val="006C4710"/>
    <w:rsid w:val="006C63D1"/>
    <w:rsid w:val="006C6DDD"/>
    <w:rsid w:val="006D1B89"/>
    <w:rsid w:val="006D56AF"/>
    <w:rsid w:val="006E10AF"/>
    <w:rsid w:val="006E11E6"/>
    <w:rsid w:val="006E1A22"/>
    <w:rsid w:val="006E328F"/>
    <w:rsid w:val="006E44E0"/>
    <w:rsid w:val="006E6317"/>
    <w:rsid w:val="006E71A2"/>
    <w:rsid w:val="006E77F3"/>
    <w:rsid w:val="006E7A90"/>
    <w:rsid w:val="006F0A6B"/>
    <w:rsid w:val="006F51B4"/>
    <w:rsid w:val="006F5962"/>
    <w:rsid w:val="006F64D8"/>
    <w:rsid w:val="0070207C"/>
    <w:rsid w:val="00704E31"/>
    <w:rsid w:val="00707609"/>
    <w:rsid w:val="00707D0B"/>
    <w:rsid w:val="007105C9"/>
    <w:rsid w:val="0071285E"/>
    <w:rsid w:val="007132A7"/>
    <w:rsid w:val="007143A0"/>
    <w:rsid w:val="0071448F"/>
    <w:rsid w:val="00714BC6"/>
    <w:rsid w:val="00717A72"/>
    <w:rsid w:val="00723334"/>
    <w:rsid w:val="00732995"/>
    <w:rsid w:val="0073654F"/>
    <w:rsid w:val="007367E8"/>
    <w:rsid w:val="00745D68"/>
    <w:rsid w:val="007470AA"/>
    <w:rsid w:val="00750FEE"/>
    <w:rsid w:val="00752A0F"/>
    <w:rsid w:val="0075314C"/>
    <w:rsid w:val="00755A2F"/>
    <w:rsid w:val="00761B35"/>
    <w:rsid w:val="007659E2"/>
    <w:rsid w:val="00765DD4"/>
    <w:rsid w:val="00766885"/>
    <w:rsid w:val="00767BAC"/>
    <w:rsid w:val="00770194"/>
    <w:rsid w:val="00770846"/>
    <w:rsid w:val="00771C52"/>
    <w:rsid w:val="00772BB7"/>
    <w:rsid w:val="0077561B"/>
    <w:rsid w:val="00780D2A"/>
    <w:rsid w:val="00781AB5"/>
    <w:rsid w:val="00783657"/>
    <w:rsid w:val="0078417B"/>
    <w:rsid w:val="00784955"/>
    <w:rsid w:val="00784F91"/>
    <w:rsid w:val="00785721"/>
    <w:rsid w:val="00790A07"/>
    <w:rsid w:val="007970F8"/>
    <w:rsid w:val="00797B3A"/>
    <w:rsid w:val="007A14E6"/>
    <w:rsid w:val="007A3BE0"/>
    <w:rsid w:val="007B0C9F"/>
    <w:rsid w:val="007B1A9F"/>
    <w:rsid w:val="007B77CB"/>
    <w:rsid w:val="007C12DA"/>
    <w:rsid w:val="007C29DC"/>
    <w:rsid w:val="007C65E1"/>
    <w:rsid w:val="007C6A7A"/>
    <w:rsid w:val="007D027F"/>
    <w:rsid w:val="007D512F"/>
    <w:rsid w:val="007D59BF"/>
    <w:rsid w:val="007D5D21"/>
    <w:rsid w:val="007D65EB"/>
    <w:rsid w:val="007D6E7F"/>
    <w:rsid w:val="007E15CE"/>
    <w:rsid w:val="007F382A"/>
    <w:rsid w:val="007F66FA"/>
    <w:rsid w:val="00804708"/>
    <w:rsid w:val="00805504"/>
    <w:rsid w:val="00805F26"/>
    <w:rsid w:val="00807BBB"/>
    <w:rsid w:val="00820644"/>
    <w:rsid w:val="008216BB"/>
    <w:rsid w:val="00823762"/>
    <w:rsid w:val="00825F4E"/>
    <w:rsid w:val="00827816"/>
    <w:rsid w:val="008278AC"/>
    <w:rsid w:val="008327BC"/>
    <w:rsid w:val="00833A7A"/>
    <w:rsid w:val="00835028"/>
    <w:rsid w:val="00835E10"/>
    <w:rsid w:val="00835F97"/>
    <w:rsid w:val="00836D95"/>
    <w:rsid w:val="00837D7F"/>
    <w:rsid w:val="00840885"/>
    <w:rsid w:val="00842497"/>
    <w:rsid w:val="00843118"/>
    <w:rsid w:val="008475DA"/>
    <w:rsid w:val="00850D0D"/>
    <w:rsid w:val="00853826"/>
    <w:rsid w:val="00854353"/>
    <w:rsid w:val="00856433"/>
    <w:rsid w:val="00856B4E"/>
    <w:rsid w:val="00857A45"/>
    <w:rsid w:val="0086581C"/>
    <w:rsid w:val="00867C9D"/>
    <w:rsid w:val="008740BC"/>
    <w:rsid w:val="00875307"/>
    <w:rsid w:val="00881DA8"/>
    <w:rsid w:val="00882ED2"/>
    <w:rsid w:val="008831E3"/>
    <w:rsid w:val="00883DAD"/>
    <w:rsid w:val="00884F3E"/>
    <w:rsid w:val="00885436"/>
    <w:rsid w:val="008869F5"/>
    <w:rsid w:val="00886D89"/>
    <w:rsid w:val="00892266"/>
    <w:rsid w:val="00893509"/>
    <w:rsid w:val="0089367F"/>
    <w:rsid w:val="00895C08"/>
    <w:rsid w:val="008A1D41"/>
    <w:rsid w:val="008A6D97"/>
    <w:rsid w:val="008B0EEB"/>
    <w:rsid w:val="008B13A0"/>
    <w:rsid w:val="008C1209"/>
    <w:rsid w:val="008C44DA"/>
    <w:rsid w:val="008C495B"/>
    <w:rsid w:val="008C49F8"/>
    <w:rsid w:val="008D327C"/>
    <w:rsid w:val="008D3F0F"/>
    <w:rsid w:val="008D6373"/>
    <w:rsid w:val="008D709D"/>
    <w:rsid w:val="008E4D74"/>
    <w:rsid w:val="008F0943"/>
    <w:rsid w:val="008F0E3E"/>
    <w:rsid w:val="008F2496"/>
    <w:rsid w:val="008F3E25"/>
    <w:rsid w:val="008F5F13"/>
    <w:rsid w:val="008F64BA"/>
    <w:rsid w:val="008F6B76"/>
    <w:rsid w:val="00900C31"/>
    <w:rsid w:val="00900E1B"/>
    <w:rsid w:val="00902458"/>
    <w:rsid w:val="009031FF"/>
    <w:rsid w:val="00912BEA"/>
    <w:rsid w:val="00914B57"/>
    <w:rsid w:val="00917302"/>
    <w:rsid w:val="00925E3F"/>
    <w:rsid w:val="00932ED2"/>
    <w:rsid w:val="00934776"/>
    <w:rsid w:val="00940696"/>
    <w:rsid w:val="009414B4"/>
    <w:rsid w:val="00941AE5"/>
    <w:rsid w:val="00942AA6"/>
    <w:rsid w:val="00951B2B"/>
    <w:rsid w:val="00952F3D"/>
    <w:rsid w:val="00953CC1"/>
    <w:rsid w:val="00954EEC"/>
    <w:rsid w:val="00955776"/>
    <w:rsid w:val="00955F95"/>
    <w:rsid w:val="009567D7"/>
    <w:rsid w:val="00960F08"/>
    <w:rsid w:val="00962D33"/>
    <w:rsid w:val="009776FB"/>
    <w:rsid w:val="00980BED"/>
    <w:rsid w:val="00982C1F"/>
    <w:rsid w:val="00987422"/>
    <w:rsid w:val="00995191"/>
    <w:rsid w:val="00995220"/>
    <w:rsid w:val="0099746A"/>
    <w:rsid w:val="00997C60"/>
    <w:rsid w:val="00997CA9"/>
    <w:rsid w:val="009A283B"/>
    <w:rsid w:val="009A534C"/>
    <w:rsid w:val="009A61AA"/>
    <w:rsid w:val="009A7B94"/>
    <w:rsid w:val="009B6F7A"/>
    <w:rsid w:val="009B7AD6"/>
    <w:rsid w:val="009C0094"/>
    <w:rsid w:val="009C3B6A"/>
    <w:rsid w:val="009D2A10"/>
    <w:rsid w:val="009D3249"/>
    <w:rsid w:val="009D76BA"/>
    <w:rsid w:val="009E13AE"/>
    <w:rsid w:val="009E358F"/>
    <w:rsid w:val="009E4791"/>
    <w:rsid w:val="009E4E97"/>
    <w:rsid w:val="009E521D"/>
    <w:rsid w:val="009E670C"/>
    <w:rsid w:val="009E78EB"/>
    <w:rsid w:val="009E7A3F"/>
    <w:rsid w:val="009F1C08"/>
    <w:rsid w:val="009F3809"/>
    <w:rsid w:val="009F7C38"/>
    <w:rsid w:val="009F7EB2"/>
    <w:rsid w:val="00A01665"/>
    <w:rsid w:val="00A02507"/>
    <w:rsid w:val="00A02A1E"/>
    <w:rsid w:val="00A036FA"/>
    <w:rsid w:val="00A10845"/>
    <w:rsid w:val="00A12B51"/>
    <w:rsid w:val="00A1502D"/>
    <w:rsid w:val="00A174E6"/>
    <w:rsid w:val="00A20814"/>
    <w:rsid w:val="00A23210"/>
    <w:rsid w:val="00A248FC"/>
    <w:rsid w:val="00A250BF"/>
    <w:rsid w:val="00A305F6"/>
    <w:rsid w:val="00A3068E"/>
    <w:rsid w:val="00A32FCA"/>
    <w:rsid w:val="00A37433"/>
    <w:rsid w:val="00A3782D"/>
    <w:rsid w:val="00A400F3"/>
    <w:rsid w:val="00A40EE3"/>
    <w:rsid w:val="00A411B4"/>
    <w:rsid w:val="00A57A46"/>
    <w:rsid w:val="00A640EA"/>
    <w:rsid w:val="00A67DD2"/>
    <w:rsid w:val="00A72148"/>
    <w:rsid w:val="00A72F52"/>
    <w:rsid w:val="00A74DEE"/>
    <w:rsid w:val="00A7798E"/>
    <w:rsid w:val="00A813DA"/>
    <w:rsid w:val="00A86C4B"/>
    <w:rsid w:val="00A87348"/>
    <w:rsid w:val="00A93D2C"/>
    <w:rsid w:val="00AA069B"/>
    <w:rsid w:val="00AA17AE"/>
    <w:rsid w:val="00AB0E52"/>
    <w:rsid w:val="00AB271A"/>
    <w:rsid w:val="00AC1761"/>
    <w:rsid w:val="00AC1AEA"/>
    <w:rsid w:val="00AC21B4"/>
    <w:rsid w:val="00AC6E96"/>
    <w:rsid w:val="00AD2779"/>
    <w:rsid w:val="00AD3ECE"/>
    <w:rsid w:val="00AD7BDA"/>
    <w:rsid w:val="00AE028D"/>
    <w:rsid w:val="00AE060C"/>
    <w:rsid w:val="00AE0CBB"/>
    <w:rsid w:val="00AE4862"/>
    <w:rsid w:val="00AF0998"/>
    <w:rsid w:val="00AF4164"/>
    <w:rsid w:val="00AF5573"/>
    <w:rsid w:val="00AF75B1"/>
    <w:rsid w:val="00AF7603"/>
    <w:rsid w:val="00B03E0C"/>
    <w:rsid w:val="00B04699"/>
    <w:rsid w:val="00B04F10"/>
    <w:rsid w:val="00B05244"/>
    <w:rsid w:val="00B05C15"/>
    <w:rsid w:val="00B0620B"/>
    <w:rsid w:val="00B0642D"/>
    <w:rsid w:val="00B15BC8"/>
    <w:rsid w:val="00B17706"/>
    <w:rsid w:val="00B20C33"/>
    <w:rsid w:val="00B21B7F"/>
    <w:rsid w:val="00B221D2"/>
    <w:rsid w:val="00B22869"/>
    <w:rsid w:val="00B24E0D"/>
    <w:rsid w:val="00B261C5"/>
    <w:rsid w:val="00B2788D"/>
    <w:rsid w:val="00B27AB0"/>
    <w:rsid w:val="00B32116"/>
    <w:rsid w:val="00B32143"/>
    <w:rsid w:val="00B32975"/>
    <w:rsid w:val="00B35611"/>
    <w:rsid w:val="00B37487"/>
    <w:rsid w:val="00B403C8"/>
    <w:rsid w:val="00B41213"/>
    <w:rsid w:val="00B42FA9"/>
    <w:rsid w:val="00B44AC4"/>
    <w:rsid w:val="00B45F92"/>
    <w:rsid w:val="00B46056"/>
    <w:rsid w:val="00B517E8"/>
    <w:rsid w:val="00B540A2"/>
    <w:rsid w:val="00B553F7"/>
    <w:rsid w:val="00B57755"/>
    <w:rsid w:val="00B60825"/>
    <w:rsid w:val="00B66958"/>
    <w:rsid w:val="00B66CAD"/>
    <w:rsid w:val="00B7322F"/>
    <w:rsid w:val="00B73D1C"/>
    <w:rsid w:val="00B7460D"/>
    <w:rsid w:val="00B80D88"/>
    <w:rsid w:val="00B83F0A"/>
    <w:rsid w:val="00B84B76"/>
    <w:rsid w:val="00B850A9"/>
    <w:rsid w:val="00B86334"/>
    <w:rsid w:val="00B86BC0"/>
    <w:rsid w:val="00B86DC8"/>
    <w:rsid w:val="00B902B5"/>
    <w:rsid w:val="00B933C3"/>
    <w:rsid w:val="00B96668"/>
    <w:rsid w:val="00BA2878"/>
    <w:rsid w:val="00BA608C"/>
    <w:rsid w:val="00BB578C"/>
    <w:rsid w:val="00BB6166"/>
    <w:rsid w:val="00BC000F"/>
    <w:rsid w:val="00BC0363"/>
    <w:rsid w:val="00BC0B22"/>
    <w:rsid w:val="00BC2B28"/>
    <w:rsid w:val="00BC6F4D"/>
    <w:rsid w:val="00BD226F"/>
    <w:rsid w:val="00BD3C81"/>
    <w:rsid w:val="00BD564F"/>
    <w:rsid w:val="00BE2546"/>
    <w:rsid w:val="00BE2AFB"/>
    <w:rsid w:val="00BE4096"/>
    <w:rsid w:val="00BE4528"/>
    <w:rsid w:val="00BE4C4B"/>
    <w:rsid w:val="00BE627D"/>
    <w:rsid w:val="00BF1797"/>
    <w:rsid w:val="00BF3E70"/>
    <w:rsid w:val="00BF55D0"/>
    <w:rsid w:val="00BF75EE"/>
    <w:rsid w:val="00C02A8B"/>
    <w:rsid w:val="00C030F4"/>
    <w:rsid w:val="00C034B8"/>
    <w:rsid w:val="00C04584"/>
    <w:rsid w:val="00C04D67"/>
    <w:rsid w:val="00C055B8"/>
    <w:rsid w:val="00C11D6F"/>
    <w:rsid w:val="00C133E6"/>
    <w:rsid w:val="00C1425C"/>
    <w:rsid w:val="00C14529"/>
    <w:rsid w:val="00C2006B"/>
    <w:rsid w:val="00C20E2B"/>
    <w:rsid w:val="00C21F8D"/>
    <w:rsid w:val="00C23B8B"/>
    <w:rsid w:val="00C25DBA"/>
    <w:rsid w:val="00C26E3E"/>
    <w:rsid w:val="00C26F22"/>
    <w:rsid w:val="00C27461"/>
    <w:rsid w:val="00C30AE1"/>
    <w:rsid w:val="00C310D5"/>
    <w:rsid w:val="00C31B9B"/>
    <w:rsid w:val="00C33B9F"/>
    <w:rsid w:val="00C3557D"/>
    <w:rsid w:val="00C3776A"/>
    <w:rsid w:val="00C379EE"/>
    <w:rsid w:val="00C37AB7"/>
    <w:rsid w:val="00C41CB4"/>
    <w:rsid w:val="00C41F06"/>
    <w:rsid w:val="00C43FB3"/>
    <w:rsid w:val="00C44433"/>
    <w:rsid w:val="00C47BFF"/>
    <w:rsid w:val="00C51060"/>
    <w:rsid w:val="00C52271"/>
    <w:rsid w:val="00C5612E"/>
    <w:rsid w:val="00C6030D"/>
    <w:rsid w:val="00C639B0"/>
    <w:rsid w:val="00C65FBB"/>
    <w:rsid w:val="00C72E0C"/>
    <w:rsid w:val="00C74960"/>
    <w:rsid w:val="00C76789"/>
    <w:rsid w:val="00C813AD"/>
    <w:rsid w:val="00C86E4E"/>
    <w:rsid w:val="00C9053B"/>
    <w:rsid w:val="00C92497"/>
    <w:rsid w:val="00C95F7B"/>
    <w:rsid w:val="00C96B81"/>
    <w:rsid w:val="00CA59B1"/>
    <w:rsid w:val="00CB0271"/>
    <w:rsid w:val="00CB1DB9"/>
    <w:rsid w:val="00CB3B43"/>
    <w:rsid w:val="00CB3C7A"/>
    <w:rsid w:val="00CB4621"/>
    <w:rsid w:val="00CB495F"/>
    <w:rsid w:val="00CB655D"/>
    <w:rsid w:val="00CB6D67"/>
    <w:rsid w:val="00CB7016"/>
    <w:rsid w:val="00CB725F"/>
    <w:rsid w:val="00CB79F7"/>
    <w:rsid w:val="00CC20FF"/>
    <w:rsid w:val="00CD6752"/>
    <w:rsid w:val="00CE08E4"/>
    <w:rsid w:val="00CE358F"/>
    <w:rsid w:val="00CE6C13"/>
    <w:rsid w:val="00CF0A4B"/>
    <w:rsid w:val="00CF0EF1"/>
    <w:rsid w:val="00CF4A56"/>
    <w:rsid w:val="00CF4BB1"/>
    <w:rsid w:val="00CF7163"/>
    <w:rsid w:val="00D01DAF"/>
    <w:rsid w:val="00D02294"/>
    <w:rsid w:val="00D03672"/>
    <w:rsid w:val="00D038D9"/>
    <w:rsid w:val="00D04269"/>
    <w:rsid w:val="00D04794"/>
    <w:rsid w:val="00D062A7"/>
    <w:rsid w:val="00D107CD"/>
    <w:rsid w:val="00D10C69"/>
    <w:rsid w:val="00D10FA0"/>
    <w:rsid w:val="00D16CB3"/>
    <w:rsid w:val="00D25780"/>
    <w:rsid w:val="00D315B7"/>
    <w:rsid w:val="00D33440"/>
    <w:rsid w:val="00D35311"/>
    <w:rsid w:val="00D35BE0"/>
    <w:rsid w:val="00D36DB4"/>
    <w:rsid w:val="00D40D83"/>
    <w:rsid w:val="00D412BA"/>
    <w:rsid w:val="00D445C6"/>
    <w:rsid w:val="00D4720D"/>
    <w:rsid w:val="00D5537D"/>
    <w:rsid w:val="00D553B8"/>
    <w:rsid w:val="00D56722"/>
    <w:rsid w:val="00D56868"/>
    <w:rsid w:val="00D570F1"/>
    <w:rsid w:val="00D60358"/>
    <w:rsid w:val="00D62049"/>
    <w:rsid w:val="00D625B3"/>
    <w:rsid w:val="00D71C9C"/>
    <w:rsid w:val="00D73958"/>
    <w:rsid w:val="00D754EC"/>
    <w:rsid w:val="00D756DC"/>
    <w:rsid w:val="00D81CF9"/>
    <w:rsid w:val="00D83744"/>
    <w:rsid w:val="00D90C82"/>
    <w:rsid w:val="00D93E9D"/>
    <w:rsid w:val="00D95727"/>
    <w:rsid w:val="00D95E42"/>
    <w:rsid w:val="00D97839"/>
    <w:rsid w:val="00DA04EB"/>
    <w:rsid w:val="00DA0A1D"/>
    <w:rsid w:val="00DA15EC"/>
    <w:rsid w:val="00DA4B83"/>
    <w:rsid w:val="00DA5564"/>
    <w:rsid w:val="00DB174D"/>
    <w:rsid w:val="00DB21F3"/>
    <w:rsid w:val="00DB405C"/>
    <w:rsid w:val="00DB62F7"/>
    <w:rsid w:val="00DB6CF9"/>
    <w:rsid w:val="00DB6E07"/>
    <w:rsid w:val="00DB6E45"/>
    <w:rsid w:val="00DC06C2"/>
    <w:rsid w:val="00DC1988"/>
    <w:rsid w:val="00DC46CF"/>
    <w:rsid w:val="00DC483D"/>
    <w:rsid w:val="00DC68D9"/>
    <w:rsid w:val="00DD169C"/>
    <w:rsid w:val="00DD2F67"/>
    <w:rsid w:val="00DE18BA"/>
    <w:rsid w:val="00DE2967"/>
    <w:rsid w:val="00DE2A7A"/>
    <w:rsid w:val="00DE3284"/>
    <w:rsid w:val="00DE3945"/>
    <w:rsid w:val="00E01EFD"/>
    <w:rsid w:val="00E02B74"/>
    <w:rsid w:val="00E03D1C"/>
    <w:rsid w:val="00E04143"/>
    <w:rsid w:val="00E060D6"/>
    <w:rsid w:val="00E066C0"/>
    <w:rsid w:val="00E146B1"/>
    <w:rsid w:val="00E21FEE"/>
    <w:rsid w:val="00E23658"/>
    <w:rsid w:val="00E24872"/>
    <w:rsid w:val="00E25357"/>
    <w:rsid w:val="00E2794B"/>
    <w:rsid w:val="00E27F8E"/>
    <w:rsid w:val="00E326AC"/>
    <w:rsid w:val="00E32F56"/>
    <w:rsid w:val="00E345BB"/>
    <w:rsid w:val="00E35284"/>
    <w:rsid w:val="00E35375"/>
    <w:rsid w:val="00E40FEE"/>
    <w:rsid w:val="00E419D4"/>
    <w:rsid w:val="00E51067"/>
    <w:rsid w:val="00E536A5"/>
    <w:rsid w:val="00E57147"/>
    <w:rsid w:val="00E6055D"/>
    <w:rsid w:val="00E62E1F"/>
    <w:rsid w:val="00E638C4"/>
    <w:rsid w:val="00E677D3"/>
    <w:rsid w:val="00E71EC0"/>
    <w:rsid w:val="00E72628"/>
    <w:rsid w:val="00E72F9B"/>
    <w:rsid w:val="00E74CB1"/>
    <w:rsid w:val="00E76252"/>
    <w:rsid w:val="00E779DF"/>
    <w:rsid w:val="00E809B7"/>
    <w:rsid w:val="00E8228C"/>
    <w:rsid w:val="00E83E5A"/>
    <w:rsid w:val="00E859BD"/>
    <w:rsid w:val="00E86121"/>
    <w:rsid w:val="00E8682B"/>
    <w:rsid w:val="00E92EFB"/>
    <w:rsid w:val="00E9692F"/>
    <w:rsid w:val="00EA3676"/>
    <w:rsid w:val="00EB0154"/>
    <w:rsid w:val="00EB28DD"/>
    <w:rsid w:val="00EB2A3F"/>
    <w:rsid w:val="00EB3128"/>
    <w:rsid w:val="00EC276C"/>
    <w:rsid w:val="00EC339A"/>
    <w:rsid w:val="00EC4F20"/>
    <w:rsid w:val="00EC5A17"/>
    <w:rsid w:val="00EC7EEA"/>
    <w:rsid w:val="00ED075B"/>
    <w:rsid w:val="00ED1664"/>
    <w:rsid w:val="00ED182B"/>
    <w:rsid w:val="00ED239B"/>
    <w:rsid w:val="00ED4818"/>
    <w:rsid w:val="00ED5C55"/>
    <w:rsid w:val="00EE46DF"/>
    <w:rsid w:val="00EE64D6"/>
    <w:rsid w:val="00F020B4"/>
    <w:rsid w:val="00F02B47"/>
    <w:rsid w:val="00F02D30"/>
    <w:rsid w:val="00F04027"/>
    <w:rsid w:val="00F12B2B"/>
    <w:rsid w:val="00F14B41"/>
    <w:rsid w:val="00F211F1"/>
    <w:rsid w:val="00F2166A"/>
    <w:rsid w:val="00F34228"/>
    <w:rsid w:val="00F346D4"/>
    <w:rsid w:val="00F37921"/>
    <w:rsid w:val="00F45440"/>
    <w:rsid w:val="00F47816"/>
    <w:rsid w:val="00F50484"/>
    <w:rsid w:val="00F51434"/>
    <w:rsid w:val="00F529F1"/>
    <w:rsid w:val="00F532D1"/>
    <w:rsid w:val="00F53D26"/>
    <w:rsid w:val="00F55C03"/>
    <w:rsid w:val="00F57963"/>
    <w:rsid w:val="00F60EAC"/>
    <w:rsid w:val="00F61A0E"/>
    <w:rsid w:val="00F61C82"/>
    <w:rsid w:val="00F63FA0"/>
    <w:rsid w:val="00F67240"/>
    <w:rsid w:val="00F70330"/>
    <w:rsid w:val="00F708FD"/>
    <w:rsid w:val="00F800C8"/>
    <w:rsid w:val="00F8110A"/>
    <w:rsid w:val="00F81B62"/>
    <w:rsid w:val="00F82C00"/>
    <w:rsid w:val="00F84B37"/>
    <w:rsid w:val="00F86BFA"/>
    <w:rsid w:val="00F86C29"/>
    <w:rsid w:val="00F909D8"/>
    <w:rsid w:val="00F910AC"/>
    <w:rsid w:val="00F960F5"/>
    <w:rsid w:val="00F97256"/>
    <w:rsid w:val="00F973FC"/>
    <w:rsid w:val="00FA2010"/>
    <w:rsid w:val="00FA5A89"/>
    <w:rsid w:val="00FA5CCE"/>
    <w:rsid w:val="00FB0625"/>
    <w:rsid w:val="00FB48C6"/>
    <w:rsid w:val="00FB5A0D"/>
    <w:rsid w:val="00FB5C1C"/>
    <w:rsid w:val="00FC2E11"/>
    <w:rsid w:val="00FC615B"/>
    <w:rsid w:val="00FD070F"/>
    <w:rsid w:val="00FD12FE"/>
    <w:rsid w:val="00FD4715"/>
    <w:rsid w:val="00FD5A26"/>
    <w:rsid w:val="00FE2E4F"/>
    <w:rsid w:val="00FE68EF"/>
    <w:rsid w:val="00FE74AD"/>
    <w:rsid w:val="00FE7695"/>
    <w:rsid w:val="00FF1600"/>
    <w:rsid w:val="00FF213D"/>
    <w:rsid w:val="00FF30F0"/>
    <w:rsid w:val="00FF365F"/>
    <w:rsid w:val="00FF51C9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6A996FD"/>
  <w15:docId w15:val="{A3DD33B3-C933-43D2-9007-F9D0960C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67A84"/>
    <w:pPr>
      <w:spacing w:before="64"/>
      <w:ind w:right="163"/>
      <w:outlineLvl w:val="0"/>
    </w:pPr>
    <w:rPr>
      <w:rFonts w:ascii="Arial"/>
      <w:b/>
      <w:w w:val="105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keepLines/>
      <w:spacing w:after="120"/>
      <w:jc w:val="both"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qFormat/>
    <w:pPr>
      <w:keepNext/>
      <w:keepLines/>
      <w:ind w:left="425"/>
      <w:jc w:val="both"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qFormat/>
    <w:pPr>
      <w:keepNext/>
      <w:ind w:left="425"/>
      <w:outlineLvl w:val="4"/>
    </w:pPr>
    <w:rPr>
      <w:b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spacing w:after="240"/>
      <w:outlineLvl w:val="6"/>
    </w:p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lang w:val="en-US"/>
    </w:rPr>
  </w:style>
  <w:style w:type="paragraph" w:styleId="BodyText2">
    <w:name w:val="Body Text 2"/>
    <w:basedOn w:val="Normal"/>
    <w:pPr>
      <w:spacing w:after="120"/>
      <w:ind w:right="-366"/>
    </w:pPr>
    <w:rPr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34228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DETRLevel1">
    <w:name w:val="DETR Level 1"/>
    <w:basedOn w:val="ListNumber"/>
    <w:pPr>
      <w:tabs>
        <w:tab w:val="clear" w:pos="360"/>
        <w:tab w:val="left" w:pos="-720"/>
      </w:tabs>
      <w:suppressAutoHyphens/>
      <w:jc w:val="both"/>
    </w:pPr>
    <w:rPr>
      <w:spacing w:val="-2"/>
    </w:r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BodyTextIndent">
    <w:name w:val="Body Text Indent"/>
    <w:basedOn w:val="Normal"/>
    <w:pPr>
      <w:spacing w:before="100" w:after="100"/>
      <w:ind w:left="720" w:hanging="720"/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rPr>
      <w:rFonts w:ascii="Arial" w:hAnsi="Arial"/>
      <w:sz w:val="20"/>
    </w:rPr>
  </w:style>
  <w:style w:type="paragraph" w:customStyle="1" w:styleId="AgencyStdParagraph">
    <w:name w:val="Agency Std Paragraph"/>
    <w:autoRedefine/>
    <w:pPr>
      <w:jc w:val="both"/>
    </w:pPr>
    <w:rPr>
      <w:rFonts w:ascii="Arial" w:hAnsi="Arial"/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E-mailSignature">
    <w:name w:val="E-mail Signature"/>
    <w:basedOn w:val="Normal"/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/>
    </w:rPr>
  </w:style>
  <w:style w:type="character" w:styleId="PageNumber">
    <w:name w:val="page number"/>
    <w:rPr>
      <w:rFonts w:ascii="Foundry Form Sans" w:hAnsi="Foundry Form Sans"/>
    </w:rPr>
  </w:style>
  <w:style w:type="paragraph" w:styleId="BodyTextIndent2">
    <w:name w:val="Body Text Indent 2"/>
    <w:basedOn w:val="Normal"/>
    <w:pPr>
      <w:spacing w:after="120"/>
      <w:ind w:left="360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Indent3">
    <w:name w:val="Body Text Indent 3"/>
    <w:basedOn w:val="Normal"/>
    <w:pPr>
      <w:spacing w:after="240"/>
      <w:ind w:left="425"/>
      <w:jc w:val="both"/>
    </w:pPr>
  </w:style>
  <w:style w:type="paragraph" w:styleId="PlainText">
    <w:name w:val="Plain Text"/>
    <w:basedOn w:val="Normal"/>
    <w:rPr>
      <w:rFonts w:ascii="Courier New" w:hAnsi="Courier New"/>
      <w:sz w:val="20"/>
      <w:lang w:val="en-US"/>
    </w:rPr>
  </w:style>
  <w:style w:type="paragraph" w:customStyle="1" w:styleId="algHeading2">
    <w:name w:val="alg_Heading2"/>
    <w:basedOn w:val="Normal"/>
    <w:autoRedefine/>
    <w:pPr>
      <w:ind w:left="-108" w:right="-108"/>
    </w:pPr>
    <w:rPr>
      <w:b/>
      <w:noProof/>
      <w:sz w:val="36"/>
    </w:rPr>
  </w:style>
  <w:style w:type="paragraph" w:customStyle="1" w:styleId="Spacer">
    <w:name w:val="Spacer"/>
    <w:basedOn w:val="Header"/>
    <w:pPr>
      <w:tabs>
        <w:tab w:val="clear" w:pos="4153"/>
        <w:tab w:val="clear" w:pos="8306"/>
      </w:tabs>
    </w:pPr>
    <w:rPr>
      <w:rFonts w:ascii="Officina Sans ITC TT" w:hAnsi="Officina Sans ITC TT"/>
      <w:sz w:val="12"/>
    </w:rPr>
  </w:style>
  <w:style w:type="paragraph" w:customStyle="1" w:styleId="algHeading1">
    <w:name w:val="alg_Heading1"/>
    <w:basedOn w:val="Normal"/>
    <w:pPr>
      <w:spacing w:before="120" w:after="120"/>
      <w:ind w:left="-108"/>
    </w:pPr>
    <w:rPr>
      <w:rFonts w:ascii="Officina Sans ITC TT" w:hAnsi="Officina Sans ITC TT"/>
      <w:sz w:val="48"/>
    </w:rPr>
  </w:style>
  <w:style w:type="paragraph" w:customStyle="1" w:styleId="algFormBold">
    <w:name w:val="alg_FormBold"/>
    <w:basedOn w:val="algForm"/>
    <w:pPr>
      <w:ind w:left="-108"/>
    </w:pPr>
    <w:rPr>
      <w:b/>
    </w:rPr>
  </w:style>
  <w:style w:type="paragraph" w:customStyle="1" w:styleId="algForm">
    <w:name w:val="alg_Form"/>
    <w:basedOn w:val="Normal"/>
    <w:pPr>
      <w:spacing w:before="120" w:after="120"/>
    </w:pPr>
    <w:rPr>
      <w:rFonts w:ascii="Officina Sans ITC TT" w:hAnsi="Officina Sans ITC TT"/>
    </w:rPr>
  </w:style>
  <w:style w:type="paragraph" w:customStyle="1" w:styleId="N5">
    <w:name w:val="N5"/>
    <w:basedOn w:val="N4"/>
    <w:pPr>
      <w:numPr>
        <w:ilvl w:val="0"/>
      </w:numPr>
      <w:tabs>
        <w:tab w:val="num" w:pos="360"/>
        <w:tab w:val="num" w:pos="2160"/>
        <w:tab w:val="num" w:pos="3600"/>
      </w:tabs>
      <w:ind w:left="3600" w:hanging="360"/>
    </w:pPr>
  </w:style>
  <w:style w:type="paragraph" w:customStyle="1" w:styleId="N4">
    <w:name w:val="N4"/>
    <w:basedOn w:val="N3"/>
    <w:pPr>
      <w:numPr>
        <w:ilvl w:val="3"/>
      </w:numPr>
      <w:tabs>
        <w:tab w:val="num" w:pos="2160"/>
        <w:tab w:val="num" w:pos="2880"/>
      </w:tabs>
      <w:ind w:left="2880" w:hanging="360"/>
    </w:pPr>
  </w:style>
  <w:style w:type="paragraph" w:customStyle="1" w:styleId="N3">
    <w:name w:val="N3"/>
    <w:basedOn w:val="N2"/>
    <w:pPr>
      <w:tabs>
        <w:tab w:val="clear" w:pos="1440"/>
        <w:tab w:val="num" w:pos="2160"/>
      </w:tabs>
      <w:ind w:left="2160" w:hanging="180"/>
    </w:pPr>
  </w:style>
  <w:style w:type="paragraph" w:customStyle="1" w:styleId="N2">
    <w:name w:val="N2"/>
    <w:basedOn w:val="N1"/>
    <w:pPr>
      <w:tabs>
        <w:tab w:val="num" w:pos="1440"/>
      </w:tabs>
      <w:spacing w:before="80"/>
      <w:ind w:left="1440" w:hanging="360"/>
    </w:pPr>
  </w:style>
  <w:style w:type="paragraph" w:customStyle="1" w:styleId="N1">
    <w:name w:val="N1"/>
    <w:basedOn w:val="Normal"/>
    <w:pPr>
      <w:spacing w:before="160" w:line="220" w:lineRule="atLeast"/>
      <w:ind w:firstLine="170"/>
      <w:jc w:val="both"/>
    </w:pPr>
    <w:rPr>
      <w:sz w:val="21"/>
    </w:rPr>
  </w:style>
  <w:style w:type="character" w:styleId="FollowedHyperlink">
    <w:name w:val="FollowedHyperlink"/>
    <w:rsid w:val="00327CDF"/>
    <w:rPr>
      <w:color w:val="800080"/>
      <w:u w:val="single"/>
    </w:rPr>
  </w:style>
  <w:style w:type="character" w:styleId="Strong">
    <w:name w:val="Strong"/>
    <w:qFormat/>
    <w:rsid w:val="00750FEE"/>
    <w:rPr>
      <w:b/>
      <w:bCs/>
    </w:rPr>
  </w:style>
  <w:style w:type="character" w:customStyle="1" w:styleId="legamendquote1">
    <w:name w:val="legamendquote1"/>
    <w:rsid w:val="005E6953"/>
    <w:rPr>
      <w:b w:val="0"/>
      <w:bCs w:val="0"/>
      <w:i w:val="0"/>
      <w:iCs w:val="0"/>
    </w:rPr>
  </w:style>
  <w:style w:type="character" w:customStyle="1" w:styleId="legdslegp1no">
    <w:name w:val="legds legp1no"/>
    <w:basedOn w:val="DefaultParagraphFont"/>
    <w:rsid w:val="005E6953"/>
  </w:style>
  <w:style w:type="character" w:customStyle="1" w:styleId="legdslegp1grouptitle">
    <w:name w:val="legds legp1grouptitle"/>
    <w:basedOn w:val="DefaultParagraphFont"/>
    <w:rsid w:val="005E6953"/>
  </w:style>
  <w:style w:type="character" w:customStyle="1" w:styleId="legdsleglhslegp2no">
    <w:name w:val="legds leglhs legp2no"/>
    <w:basedOn w:val="DefaultParagraphFont"/>
    <w:rsid w:val="005E6953"/>
  </w:style>
  <w:style w:type="character" w:customStyle="1" w:styleId="legdslegrhslegp2text">
    <w:name w:val="legds legrhs legp2text"/>
    <w:basedOn w:val="DefaultParagraphFont"/>
    <w:rsid w:val="005E6953"/>
  </w:style>
  <w:style w:type="character" w:customStyle="1" w:styleId="legdslegp1noc1amend">
    <w:name w:val="legds legp1noc1amend"/>
    <w:basedOn w:val="DefaultParagraphFont"/>
    <w:rsid w:val="005E6953"/>
  </w:style>
  <w:style w:type="character" w:customStyle="1" w:styleId="legdslegp1grouptitlefirstc1amend">
    <w:name w:val="legds legp1grouptitlefirstc1amend"/>
    <w:basedOn w:val="DefaultParagraphFont"/>
    <w:rsid w:val="005E6953"/>
  </w:style>
  <w:style w:type="character" w:customStyle="1" w:styleId="legdsleglhslegp2noc1amend">
    <w:name w:val="legds leglhs legp2noc1amend"/>
    <w:basedOn w:val="DefaultParagraphFont"/>
    <w:rsid w:val="005E6953"/>
  </w:style>
  <w:style w:type="character" w:customStyle="1" w:styleId="legdslegrhslegp2textc1amend">
    <w:name w:val="legds legrhs legp2textc1amend"/>
    <w:basedOn w:val="DefaultParagraphFont"/>
    <w:rsid w:val="005E6953"/>
  </w:style>
  <w:style w:type="character" w:customStyle="1" w:styleId="legdsleglhslegp3noc1amend">
    <w:name w:val="legds leglhs legp3noc1amend"/>
    <w:basedOn w:val="DefaultParagraphFont"/>
    <w:rsid w:val="005E6953"/>
  </w:style>
  <w:style w:type="character" w:customStyle="1" w:styleId="legdslegrhslegp3textc1amend">
    <w:name w:val="legds legrhs legp3textc1amend"/>
    <w:basedOn w:val="DefaultParagraphFont"/>
    <w:rsid w:val="005E6953"/>
  </w:style>
  <w:style w:type="character" w:customStyle="1" w:styleId="legdslegp1grouptitlec1amend">
    <w:name w:val="legds legp1grouptitlec1amend"/>
    <w:basedOn w:val="DefaultParagraphFont"/>
    <w:rsid w:val="005E6953"/>
  </w:style>
  <w:style w:type="paragraph" w:styleId="ListParagraph">
    <w:name w:val="List Paragraph"/>
    <w:basedOn w:val="Normal"/>
    <w:uiPriority w:val="1"/>
    <w:qFormat/>
    <w:rsid w:val="00820644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F3422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rsid w:val="00F34228"/>
    <w:rPr>
      <w:rFonts w:ascii="Tahoma" w:hAnsi="Tahoma" w:cs="Tahoma"/>
      <w:sz w:val="16"/>
      <w:szCs w:val="1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39509C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CommentReference">
    <w:name w:val="annotation reference"/>
    <w:basedOn w:val="DefaultParagraphFont"/>
    <w:semiHidden/>
    <w:unhideWhenUsed/>
    <w:rsid w:val="00FB5A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5A0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5A0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5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5A0D"/>
    <w:rPr>
      <w:b/>
      <w:bCs/>
      <w:lang w:eastAsia="en-US"/>
    </w:rPr>
  </w:style>
  <w:style w:type="paragraph" w:styleId="Revision">
    <w:name w:val="Revision"/>
    <w:hidden/>
    <w:uiPriority w:val="99"/>
    <w:semiHidden/>
    <w:rsid w:val="00367A84"/>
    <w:rPr>
      <w:sz w:val="24"/>
      <w:lang w:eastAsia="en-US"/>
    </w:rPr>
  </w:style>
  <w:style w:type="character" w:styleId="Emphasis">
    <w:name w:val="Emphasis"/>
    <w:basedOn w:val="DefaultParagraphFont"/>
    <w:qFormat/>
    <w:rsid w:val="00367A84"/>
    <w:rPr>
      <w:i/>
      <w:iCs/>
    </w:rPr>
  </w:style>
  <w:style w:type="paragraph" w:styleId="NoSpacing">
    <w:name w:val="No Spacing"/>
    <w:basedOn w:val="TableParagraph"/>
    <w:uiPriority w:val="1"/>
    <w:qFormat/>
    <w:rsid w:val="00367A84"/>
    <w:pPr>
      <w:spacing w:line="264" w:lineRule="auto"/>
      <w:ind w:left="28" w:right="680"/>
    </w:pPr>
    <w:rPr>
      <w:rFonts w:ascii="Arial" w:eastAsia="Arial" w:hAnsi="Arial" w:cs="Arial"/>
      <w:bCs/>
      <w:sz w:val="18"/>
      <w:szCs w:val="18"/>
    </w:rPr>
  </w:style>
  <w:style w:type="table" w:styleId="TableGrid">
    <w:name w:val="Table Grid"/>
    <w:basedOn w:val="TableNormal"/>
    <w:rsid w:val="00467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C44D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10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29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12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74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54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806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42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7111">
          <w:marLeft w:val="3700"/>
          <w:marRight w:val="3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144135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7645">
              <w:marLeft w:val="40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8760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4B8FB-B958-4CBB-A082-B7D150AC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1792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LONDON WASTE AUTHORITY</vt:lpstr>
    </vt:vector>
  </TitlesOfParts>
  <Company>West London Waste Authority</Company>
  <LinksUpToDate>false</LinksUpToDate>
  <CharactersWithSpaces>11407</CharactersWithSpaces>
  <SharedDoc>false</SharedDoc>
  <HLinks>
    <vt:vector size="18" baseType="variant">
      <vt:variant>
        <vt:i4>6946818</vt:i4>
      </vt:variant>
      <vt:variant>
        <vt:i4>6</vt:i4>
      </vt:variant>
      <vt:variant>
        <vt:i4>0</vt:i4>
      </vt:variant>
      <vt:variant>
        <vt:i4>5</vt:i4>
      </vt:variant>
      <vt:variant>
        <vt:lpwstr>mailto:Odonnelli@ealing.gov.uk</vt:lpwstr>
      </vt:variant>
      <vt:variant>
        <vt:lpwstr/>
      </vt:variant>
      <vt:variant>
        <vt:i4>4980771</vt:i4>
      </vt:variant>
      <vt:variant>
        <vt:i4>3</vt:i4>
      </vt:variant>
      <vt:variant>
        <vt:i4>0</vt:i4>
      </vt:variant>
      <vt:variant>
        <vt:i4>5</vt:i4>
      </vt:variant>
      <vt:variant>
        <vt:lpwstr>mailto:emmabeal@westlondonwaste.gov.uk</vt:lpwstr>
      </vt:variant>
      <vt:variant>
        <vt:lpwstr/>
      </vt:variant>
      <vt:variant>
        <vt:i4>5242927</vt:i4>
      </vt:variant>
      <vt:variant>
        <vt:i4>0</vt:i4>
      </vt:variant>
      <vt:variant>
        <vt:i4>0</vt:i4>
      </vt:variant>
      <vt:variant>
        <vt:i4>5</vt:i4>
      </vt:variant>
      <vt:variant>
        <vt:lpwstr>mailto:jaypatel@westlondonwaste.gov.uk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LONDON WASTE AUTHORITY</dc:title>
  <dc:creator>Mike Nicholls</dc:creator>
  <cp:lastModifiedBy>Jay Patel</cp:lastModifiedBy>
  <cp:revision>6</cp:revision>
  <cp:lastPrinted>2018-01-16T17:29:00Z</cp:lastPrinted>
  <dcterms:created xsi:type="dcterms:W3CDTF">2021-01-05T11:51:00Z</dcterms:created>
  <dcterms:modified xsi:type="dcterms:W3CDTF">2021-01-13T07:57:00Z</dcterms:modified>
</cp:coreProperties>
</file>